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0"/>
      </w:pPr>
    </w:p>
    <w:p>
      <w:pPr>
        <w:spacing w:after="200"/>
        <w:jc w:val="center"/>
      </w:pPr>
      <w:r>
        <w:rPr>
          <w:rFonts w:ascii="Arial" w:cs="Arial" w:eastAsia="Arial" w:hAnsi="Arial"/>
          <w:b/>
          <w:bCs/>
          <w:color w:val="1B3A5C"/>
          <w:sz w:val="44"/>
          <w:szCs w:val="44"/>
        </w:rPr>
        <w:t xml:space="preserve">PUERTO RICO AUTOMATED CAR WASH</w:t>
      </w:r>
    </w:p>
    <w:p>
      <w:pPr>
        <w:spacing w:after="100"/>
        <w:jc w:val="center"/>
      </w:pPr>
      <w:r>
        <w:rPr>
          <w:rFonts w:ascii="Arial" w:cs="Arial" w:eastAsia="Arial" w:hAnsi="Arial"/>
          <w:b/>
          <w:bCs/>
          <w:color w:val="2E75B6"/>
          <w:sz w:val="40"/>
          <w:szCs w:val="40"/>
        </w:rPr>
        <w:t xml:space="preserve">MARKET INTELLIGENCE REPORT</w:t>
      </w:r>
    </w:p>
    <w:p>
      <w:pPr>
        <w:pBdr>
          <w:bottom w:val="single" w:color="2E75B6" w:sz="6" w:space="1"/>
        </w:pBdr>
        <w:spacing w:after="300"/>
        <w:jc w:val="center"/>
      </w:pPr>
    </w:p>
    <w:p>
      <w:pPr>
        <w:spacing w:after="120"/>
        <w:jc w:val="center"/>
      </w:pPr>
      <w:r>
        <w:rPr>
          <w:rFonts w:ascii="Arial" w:cs="Arial" w:eastAsia="Arial" w:hAnsi="Arial"/>
          <w:i/>
          <w:iCs/>
          <w:color w:val="666666"/>
          <w:sz w:val="24"/>
          <w:szCs w:val="24"/>
        </w:rPr>
        <w:t xml:space="preserve">Investment-Ready Business Intelligence Report</w:t>
      </w:r>
    </w:p>
    <w:p>
      <w:pPr>
        <w:spacing w:after="80"/>
        <w:jc w:val="center"/>
      </w:pPr>
      <w:r>
        <w:rPr>
          <w:rFonts w:ascii="Arial" w:cs="Arial" w:eastAsia="Arial" w:hAnsi="Arial"/>
          <w:color w:val="666666"/>
          <w:sz w:val="22"/>
          <w:szCs w:val="22"/>
        </w:rPr>
        <w:t xml:space="preserve">2–3 Location Buildout | Self-Performed TIPS Panel Construction</w:t>
      </w:r>
    </w:p>
    <w:p>
      <w:pPr>
        <w:spacing w:after="600"/>
      </w:pPr>
    </w:p>
    <w:p>
      <w:pPr>
        <w:spacing w:after="80"/>
        <w:jc w:val="center"/>
      </w:pPr>
      <w:r>
        <w:rPr>
          <w:rFonts w:ascii="Arial" w:cs="Arial" w:eastAsia="Arial" w:hAnsi="Arial"/>
          <w:b/>
          <w:bCs/>
          <w:color w:val="1B3A5C"/>
          <w:sz w:val="22"/>
          <w:szCs w:val="22"/>
        </w:rPr>
        <w:t xml:space="preserve">CONFIDENTIAL</w:t>
      </w:r>
    </w:p>
    <w:p>
      <w:pPr>
        <w:spacing w:after="80"/>
        <w:jc w:val="center"/>
      </w:pPr>
      <w:r>
        <w:rPr>
          <w:rFonts w:ascii="Arial" w:cs="Arial" w:eastAsia="Arial" w:hAnsi="Arial"/>
          <w:color w:val="666666"/>
          <w:sz w:val="20"/>
          <w:szCs w:val="20"/>
        </w:rPr>
        <w:t xml:space="preserve">Prepared: April 2026</w:t>
      </w:r>
    </w:p>
    <w:p>
      <w:pPr>
        <w:jc w:val="center"/>
      </w:pPr>
      <w:r>
        <w:rPr>
          <w:rFonts w:ascii="Arial" w:cs="Arial" w:eastAsia="Arial" w:hAnsi="Arial"/>
          <w:color w:val="666666"/>
          <w:sz w:val="20"/>
          <w:szCs w:val="20"/>
        </w:rPr>
        <w:t xml:space="preserve">For Investor Review and Internal Planning Only</w:t>
      </w:r>
    </w:p>
    <w:p>
      <w:r>
        <w:br w:type="page"/>
      </w:r>
    </w:p>
    <w:p>
      <w:pPr>
        <w:pStyle w:val="Heading1"/>
        <w:spacing w:after="200" w:before="360"/>
      </w:pPr>
      <w:r>
        <w:rPr>
          <w:rFonts w:ascii="Arial" w:cs="Arial" w:eastAsia="Arial" w:hAnsi="Arial"/>
          <w:b/>
          <w:bCs/>
          <w:color w:val="1B3A5C"/>
          <w:sz w:val="32"/>
          <w:szCs w:val="32"/>
        </w:rPr>
        <w:t xml:space="preserve">Table of Contents</w:t>
      </w:r>
    </w:p>
    <w:p>
      <w:pPr>
        <w:tabs>
          <w:tab w:val="right" w:pos="9026"/>
        </w:tabs>
        <w:spacing w:after="80"/>
      </w:pPr>
      <w:r>
        <w:rPr>
          <w:rFonts w:ascii="Arial" w:cs="Arial" w:eastAsia="Arial" w:hAnsi="Arial"/>
          <w:color w:val="1B3A5C"/>
          <w:sz w:val="22"/>
          <w:szCs w:val="22"/>
        </w:rPr>
        <w:t xml:space="preserve">1. Executive Summary &amp; Investment Thesis</w:t>
      </w:r>
      <w:r>
        <w:rPr>
          <w:rFonts w:ascii="Arial" w:cs="Arial" w:eastAsia="Arial" w:hAnsi="Arial"/>
          <w:color w:val="666666"/>
          <w:sz w:val="22"/>
          <w:szCs w:val="22"/>
        </w:rPr>
        <w:t xml:space="preserve">	3</w:t>
      </w:r>
    </w:p>
    <w:p>
      <w:pPr>
        <w:tabs>
          <w:tab w:val="right" w:pos="9026"/>
        </w:tabs>
        <w:spacing w:after="80"/>
      </w:pPr>
      <w:r>
        <w:rPr>
          <w:rFonts w:ascii="Arial" w:cs="Arial" w:eastAsia="Arial" w:hAnsi="Arial"/>
          <w:color w:val="1B3A5C"/>
          <w:sz w:val="22"/>
          <w:szCs w:val="22"/>
        </w:rPr>
        <w:t xml:space="preserve">2. Licensing, Permits &amp; Regulatory Compliance</w:t>
      </w:r>
      <w:r>
        <w:rPr>
          <w:rFonts w:ascii="Arial" w:cs="Arial" w:eastAsia="Arial" w:hAnsi="Arial"/>
          <w:color w:val="666666"/>
          <w:sz w:val="22"/>
          <w:szCs w:val="22"/>
        </w:rPr>
        <w:t xml:space="preserve">	5</w:t>
      </w:r>
    </w:p>
    <w:p>
      <w:pPr>
        <w:tabs>
          <w:tab w:val="right" w:pos="9026"/>
        </w:tabs>
        <w:spacing w:after="80"/>
      </w:pPr>
      <w:r>
        <w:rPr>
          <w:rFonts w:ascii="Arial" w:cs="Arial" w:eastAsia="Arial" w:hAnsi="Arial"/>
          <w:color w:val="1B3A5C"/>
          <w:sz w:val="22"/>
          <w:szCs w:val="22"/>
        </w:rPr>
        <w:t xml:space="preserve">3. Market Analysis &amp; Competitive Landscape</w:t>
      </w:r>
      <w:r>
        <w:rPr>
          <w:rFonts w:ascii="Arial" w:cs="Arial" w:eastAsia="Arial" w:hAnsi="Arial"/>
          <w:color w:val="666666"/>
          <w:sz w:val="22"/>
          <w:szCs w:val="22"/>
        </w:rPr>
        <w:t xml:space="preserve">	9</w:t>
      </w:r>
    </w:p>
    <w:p>
      <w:pPr>
        <w:tabs>
          <w:tab w:val="right" w:pos="9026"/>
        </w:tabs>
        <w:spacing w:after="80"/>
      </w:pPr>
      <w:r>
        <w:rPr>
          <w:rFonts w:ascii="Arial" w:cs="Arial" w:eastAsia="Arial" w:hAnsi="Arial"/>
          <w:color w:val="1B3A5C"/>
          <w:sz w:val="22"/>
          <w:szCs w:val="22"/>
        </w:rPr>
        <w:t xml:space="preserve">4. Market Projections &amp; Growth Data</w:t>
      </w:r>
      <w:r>
        <w:rPr>
          <w:rFonts w:ascii="Arial" w:cs="Arial" w:eastAsia="Arial" w:hAnsi="Arial"/>
          <w:color w:val="666666"/>
          <w:sz w:val="22"/>
          <w:szCs w:val="22"/>
        </w:rPr>
        <w:t xml:space="preserve">	12</w:t>
      </w:r>
    </w:p>
    <w:p>
      <w:pPr>
        <w:tabs>
          <w:tab w:val="right" w:pos="9026"/>
        </w:tabs>
        <w:spacing w:after="80"/>
      </w:pPr>
      <w:r>
        <w:rPr>
          <w:rFonts w:ascii="Arial" w:cs="Arial" w:eastAsia="Arial" w:hAnsi="Arial"/>
          <w:color w:val="1B3A5C"/>
          <w:sz w:val="22"/>
          <w:szCs w:val="22"/>
        </w:rPr>
        <w:t xml:space="preserve">5. Optimal Market Placement — 2–3 Location Portfolio</w:t>
      </w:r>
      <w:r>
        <w:rPr>
          <w:rFonts w:ascii="Arial" w:cs="Arial" w:eastAsia="Arial" w:hAnsi="Arial"/>
          <w:color w:val="666666"/>
          <w:sz w:val="22"/>
          <w:szCs w:val="22"/>
        </w:rPr>
        <w:t xml:space="preserve">	14</w:t>
      </w:r>
    </w:p>
    <w:p>
      <w:pPr>
        <w:tabs>
          <w:tab w:val="right" w:pos="9026"/>
        </w:tabs>
        <w:spacing w:after="80"/>
      </w:pPr>
      <w:r>
        <w:rPr>
          <w:rFonts w:ascii="Arial" w:cs="Arial" w:eastAsia="Arial" w:hAnsi="Arial"/>
          <w:color w:val="1B3A5C"/>
          <w:sz w:val="22"/>
          <w:szCs w:val="22"/>
        </w:rPr>
        <w:t xml:space="preserve">6. Build Cost Estimation — TIPS Panel Construction</w:t>
      </w:r>
      <w:r>
        <w:rPr>
          <w:rFonts w:ascii="Arial" w:cs="Arial" w:eastAsia="Arial" w:hAnsi="Arial"/>
          <w:color w:val="666666"/>
          <w:sz w:val="22"/>
          <w:szCs w:val="22"/>
        </w:rPr>
        <w:t xml:space="preserve">	17</w:t>
      </w:r>
    </w:p>
    <w:p>
      <w:pPr>
        <w:tabs>
          <w:tab w:val="right" w:pos="9026"/>
        </w:tabs>
        <w:spacing w:after="80"/>
      </w:pPr>
      <w:r>
        <w:rPr>
          <w:rFonts w:ascii="Arial" w:cs="Arial" w:eastAsia="Arial" w:hAnsi="Arial"/>
          <w:color w:val="1B3A5C"/>
          <w:sz w:val="22"/>
          <w:szCs w:val="22"/>
        </w:rPr>
        <w:t xml:space="preserve">7. Tax Strategy — PR Incentives &amp; Federal Bonus Depreciation</w:t>
      </w:r>
      <w:r>
        <w:rPr>
          <w:rFonts w:ascii="Arial" w:cs="Arial" w:eastAsia="Arial" w:hAnsi="Arial"/>
          <w:color w:val="666666"/>
          <w:sz w:val="22"/>
          <w:szCs w:val="22"/>
        </w:rPr>
        <w:t xml:space="preserve">	21</w:t>
      </w:r>
    </w:p>
    <w:p>
      <w:pPr>
        <w:tabs>
          <w:tab w:val="right" w:pos="9026"/>
        </w:tabs>
        <w:spacing w:after="80"/>
      </w:pPr>
      <w:r>
        <w:rPr>
          <w:rFonts w:ascii="Arial" w:cs="Arial" w:eastAsia="Arial" w:hAnsi="Arial"/>
          <w:color w:val="1B3A5C"/>
          <w:sz w:val="22"/>
          <w:szCs w:val="22"/>
        </w:rPr>
        <w:t xml:space="preserve">8. Financial Projections — ROI, ARR &amp; Payback Period</w:t>
      </w:r>
      <w:r>
        <w:rPr>
          <w:rFonts w:ascii="Arial" w:cs="Arial" w:eastAsia="Arial" w:hAnsi="Arial"/>
          <w:color w:val="666666"/>
          <w:sz w:val="22"/>
          <w:szCs w:val="22"/>
        </w:rPr>
        <w:t xml:space="preserve">	25</w:t>
      </w:r>
    </w:p>
    <w:p>
      <w:pPr>
        <w:tabs>
          <w:tab w:val="right" w:pos="9026"/>
        </w:tabs>
        <w:spacing w:after="80"/>
      </w:pPr>
      <w:r>
        <w:rPr>
          <w:rFonts w:ascii="Arial" w:cs="Arial" w:eastAsia="Arial" w:hAnsi="Arial"/>
          <w:color w:val="1B3A5C"/>
          <w:sz w:val="22"/>
          <w:szCs w:val="22"/>
        </w:rPr>
        <w:t xml:space="preserve">9. Operational Model &amp; Best Practices</w:t>
      </w:r>
      <w:r>
        <w:rPr>
          <w:rFonts w:ascii="Arial" w:cs="Arial" w:eastAsia="Arial" w:hAnsi="Arial"/>
          <w:color w:val="666666"/>
          <w:sz w:val="22"/>
          <w:szCs w:val="22"/>
        </w:rPr>
        <w:t xml:space="preserve">	29</w:t>
      </w:r>
    </w:p>
    <w:p>
      <w:pPr>
        <w:tabs>
          <w:tab w:val="right" w:pos="9026"/>
        </w:tabs>
        <w:spacing w:after="80"/>
      </w:pPr>
      <w:r>
        <w:rPr>
          <w:rFonts w:ascii="Arial" w:cs="Arial" w:eastAsia="Arial" w:hAnsi="Arial"/>
          <w:color w:val="1B3A5C"/>
          <w:sz w:val="22"/>
          <w:szCs w:val="22"/>
        </w:rPr>
        <w:t xml:space="preserve">10. Maintenance Requirements &amp; Long-Term Costs</w:t>
      </w:r>
      <w:r>
        <w:rPr>
          <w:rFonts w:ascii="Arial" w:cs="Arial" w:eastAsia="Arial" w:hAnsi="Arial"/>
          <w:color w:val="666666"/>
          <w:sz w:val="22"/>
          <w:szCs w:val="22"/>
        </w:rPr>
        <w:t xml:space="preserve">	32</w:t>
      </w:r>
    </w:p>
    <w:p>
      <w:pPr>
        <w:tabs>
          <w:tab w:val="right" w:pos="9026"/>
        </w:tabs>
        <w:spacing w:after="80"/>
      </w:pPr>
      <w:r>
        <w:rPr>
          <w:rFonts w:ascii="Arial" w:cs="Arial" w:eastAsia="Arial" w:hAnsi="Arial"/>
          <w:color w:val="1B3A5C"/>
          <w:sz w:val="22"/>
          <w:szCs w:val="22"/>
        </w:rPr>
        <w:t xml:space="preserve">11. Water Usage &amp; Environmental Considerations</w:t>
      </w:r>
      <w:r>
        <w:rPr>
          <w:rFonts w:ascii="Arial" w:cs="Arial" w:eastAsia="Arial" w:hAnsi="Arial"/>
          <w:color w:val="666666"/>
          <w:sz w:val="22"/>
          <w:szCs w:val="22"/>
        </w:rPr>
        <w:t xml:space="preserve">	34</w:t>
      </w:r>
    </w:p>
    <w:p>
      <w:pPr>
        <w:tabs>
          <w:tab w:val="right" w:pos="9026"/>
        </w:tabs>
        <w:spacing w:after="80"/>
      </w:pPr>
      <w:r>
        <w:rPr>
          <w:rFonts w:ascii="Arial" w:cs="Arial" w:eastAsia="Arial" w:hAnsi="Arial"/>
          <w:color w:val="1B3A5C"/>
          <w:sz w:val="22"/>
          <w:szCs w:val="22"/>
        </w:rPr>
        <w:t xml:space="preserve">12. Appendices &amp; Professional Confirmation Items</w:t>
      </w:r>
      <w:r>
        <w:rPr>
          <w:rFonts w:ascii="Arial" w:cs="Arial" w:eastAsia="Arial" w:hAnsi="Arial"/>
          <w:color w:val="666666"/>
          <w:sz w:val="22"/>
          <w:szCs w:val="22"/>
        </w:rPr>
        <w:t xml:space="preserve">	36</w:t>
      </w:r>
    </w:p>
    <w:p>
      <w:r>
        <w:br w:type="page"/>
      </w:r>
    </w:p>
    <w:p>
      <w:pPr>
        <w:pStyle w:val="Heading1"/>
        <w:spacing w:after="200" w:before="360"/>
      </w:pPr>
      <w:r>
        <w:rPr>
          <w:rFonts w:ascii="Arial" w:cs="Arial" w:eastAsia="Arial" w:hAnsi="Arial"/>
          <w:b/>
          <w:bCs/>
          <w:color w:val="1B3A5C"/>
          <w:sz w:val="32"/>
          <w:szCs w:val="32"/>
        </w:rPr>
        <w:t xml:space="preserve">1. Executive Summary &amp; Investment Thesis</w:t>
      </w:r>
    </w:p>
    <w:p>
      <w:pPr>
        <w:spacing w:after="160"/>
        <w:jc w:val="left"/>
      </w:pPr>
      <w:r>
        <w:rPr>
          <w:rFonts w:ascii="Arial" w:cs="Arial" w:eastAsia="Arial" w:hAnsi="Arial"/>
          <w:b w:val="false"/>
          <w:bCs w:val="false"/>
          <w:i w:val="false"/>
          <w:iCs w:val="false"/>
          <w:color w:val="000000"/>
          <w:sz w:val="20"/>
          <w:szCs w:val="20"/>
        </w:rPr>
        <w:t xml:space="preserve">Puerto Rico presents a structurally attractive automated car wash opportunity when approached as a portfolio of 2–3 sites with disciplined permitting and environmental compliance, a membership-led express exterior operating model, and a construction delivery strategy that compresses schedule and controls cost via self-performed work using the Total Integrated Panel System (TIPS).</w:t>
      </w:r>
    </w:p>
    <w:p>
      <w:pPr>
        <w:spacing w:after="160"/>
        <w:jc w:val="left"/>
      </w:pPr>
      <w:r>
        <w:rPr>
          <w:rFonts w:ascii="Arial" w:cs="Arial" w:eastAsia="Arial" w:hAnsi="Arial"/>
          <w:b w:val="false"/>
          <w:bCs w:val="false"/>
          <w:i w:val="false"/>
          <w:iCs w:val="false"/>
          <w:color w:val="000000"/>
          <w:sz w:val="20"/>
          <w:szCs w:val="20"/>
        </w:rPr>
        <w:t xml:space="preserve">Two Puerto Rico-specific economics dominate underwriting:</w:t>
      </w:r>
    </w:p>
    <w:p>
      <w:pPr>
        <w:spacing w:after="160"/>
        <w:jc w:val="left"/>
      </w:pPr>
      <w:r>
        <w:rPr>
          <w:rFonts w:ascii="Arial" w:cs="Arial" w:eastAsia="Arial" w:hAnsi="Arial"/>
          <w:b w:val="false"/>
          <w:bCs w:val="false"/>
          <w:i w:val="false"/>
          <w:iCs w:val="false"/>
          <w:color w:val="000000"/>
          <w:sz w:val="20"/>
          <w:szCs w:val="20"/>
        </w:rPr>
        <w:t xml:space="preserve">Utilities are a first-order variable. Puerto Rico’s commercial electricity prices are high relative to the U.S. mainland (effective retail prices often in the high-$0.20s/kWh range), making dryer and blower energy design, peak demand management, and resilience planning financially material. Water and sewer costs are non-trivial at commercial volumes, and the business case for water reclaim is compelling: EPA guidance (citing ICA research) reports typical fresh-water use of approximately 75 gallons per vehicle for conveyor/tunnel washes and 55 gallons per vehicle for in-bay systems, with reclaim reducing fresh-water use by approximately 50%.</w:t>
      </w:r>
    </w:p>
    <w:p>
      <w:pPr>
        <w:spacing w:after="160"/>
        <w:jc w:val="left"/>
      </w:pPr>
      <w:r>
        <w:rPr>
          <w:rFonts w:ascii="Arial" w:cs="Arial" w:eastAsia="Arial" w:hAnsi="Arial"/>
          <w:b w:val="false"/>
          <w:bCs w:val="false"/>
          <w:i w:val="false"/>
          <w:iCs w:val="false"/>
          <w:color w:val="000000"/>
          <w:sz w:val="20"/>
          <w:szCs w:val="20"/>
        </w:rPr>
        <w:t xml:space="preserve">On demand, Puerto Rico’s visitor economy has posted consecutive record-breaking years, supporting vehicle-rental activity, ride-hail intensity, and higher wash frequency in tourism-heavy corridors—especially the San Juan metro/airport axis and coastal resort clusters. Airport passenger arrivals at Luis Muñoz Marín International exceeded 6.8 million in 2025, and offshore visitor spending was estimated at $7.1B in 2024 with projected growth to $7.8B in 2025.</w:t>
      </w:r>
    </w:p>
    <w:p>
      <w:pPr>
        <w:pStyle w:val="Heading2"/>
        <w:spacing w:after="160" w:before="280"/>
      </w:pPr>
      <w:r>
        <w:rPr>
          <w:rFonts w:ascii="Arial" w:cs="Arial" w:eastAsia="Arial" w:hAnsi="Arial"/>
          <w:b/>
          <w:bCs/>
          <w:color w:val="2E75B6"/>
          <w:sz w:val="26"/>
          <w:szCs w:val="26"/>
        </w:rPr>
        <w:t xml:space="preserve">Investment Highlights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Metric</w:t>
            </w:r>
          </w:p>
        </w:tc>
        <w:tc>
          <w:tcPr>
            <w:tcW w:type="dxa" w:w="636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Detail</w:t>
            </w:r>
          </w:p>
        </w:tc>
      </w:tr>
      <w:tr>
        <w:tc>
          <w:tcPr>
            <w:tcW w:type="dxa" w:w="3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Total Addressable Market</w:t>
            </w:r>
          </w:p>
        </w:tc>
        <w:tc>
          <w:tcPr>
            <w:tcW w:type="dxa" w:w="63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~2.1M registered vehicles + 4.5M annual air visitors (60% rent cars)</w:t>
            </w:r>
          </w:p>
        </w:tc>
      </w:tr>
      <w:tr>
        <w:tc>
          <w:tcPr>
            <w:tcW w:type="dxa" w:w="3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Business Model</w:t>
            </w:r>
          </w:p>
        </w:tc>
        <w:tc>
          <w:tcPr>
            <w:tcW w:type="dxa" w:w="63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Express exterior tunnel, membership-led, 2–3 locations</w:t>
            </w:r>
          </w:p>
        </w:tc>
      </w:tr>
      <w:tr>
        <w:tc>
          <w:tcPr>
            <w:tcW w:type="dxa" w:w="3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Construction Advantage</w:t>
            </w:r>
          </w:p>
        </w:tc>
        <w:tc>
          <w:tcPr>
            <w:tcW w:type="dxa" w:w="63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Self-performed TIPS Panel build; 30% faster, 50–80% less rebar</w:t>
            </w:r>
          </w:p>
        </w:tc>
      </w:tr>
      <w:tr>
        <w:tc>
          <w:tcPr>
            <w:tcW w:type="dxa" w:w="3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Total Project Cost (per site)</w:t>
            </w:r>
          </w:p>
        </w:tc>
        <w:tc>
          <w:tcPr>
            <w:tcW w:type="dxa" w:w="63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$3.9M (low) — $7.1M (mid) — $12.3M (high)</w:t>
            </w:r>
          </w:p>
        </w:tc>
      </w:tr>
      <w:tr>
        <w:tc>
          <w:tcPr>
            <w:tcW w:type="dxa" w:w="3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Steady-State Revenue (per site)</w:t>
            </w:r>
          </w:p>
        </w:tc>
        <w:tc>
          <w:tcPr>
            <w:tcW w:type="dxa" w:w="63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$740K (conservative) — $1.37M (base) — $2.14M (optimistic)</w:t>
            </w:r>
          </w:p>
        </w:tc>
      </w:tr>
      <w:tr>
        <w:tc>
          <w:tcPr>
            <w:tcW w:type="dxa" w:w="3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EBITDA Margin</w:t>
            </w:r>
          </w:p>
        </w:tc>
        <w:tc>
          <w:tcPr>
            <w:tcW w:type="dxa" w:w="63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16–40% depending on volume scenario</w:t>
            </w:r>
          </w:p>
        </w:tc>
      </w:tr>
      <w:tr>
        <w:tc>
          <w:tcPr>
            <w:tcW w:type="dxa" w:w="3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Year 1 Tax Shield (per site)</w:t>
            </w:r>
          </w:p>
        </w:tc>
        <w:tc>
          <w:tcPr>
            <w:tcW w:type="dxa" w:w="63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$525K–$925K via 100% bonus depreciation (OBBBA)</w:t>
            </w:r>
          </w:p>
        </w:tc>
      </w:tr>
      <w:tr>
        <w:tc>
          <w:tcPr>
            <w:tcW w:type="dxa" w:w="3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Target Investor IRR</w:t>
            </w:r>
          </w:p>
        </w:tc>
        <w:tc>
          <w:tcPr>
            <w:tcW w:type="dxa" w:w="63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12–15%+ (with tax benefits, base case)</w:t>
            </w:r>
          </w:p>
        </w:tc>
      </w:tr>
      <w:tr>
        <w:tc>
          <w:tcPr>
            <w:tcW w:type="dxa" w:w="3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PR Tax Advantage</w:t>
            </w:r>
          </w:p>
        </w:tc>
        <w:tc>
          <w:tcPr>
            <w:tcW w:type="dxa" w:w="63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4% corporate rate possible via Act 60 Green Energy chapter</w:t>
            </w:r>
          </w:p>
        </w:tc>
      </w:tr>
    </w:tbl>
    <w:p>
      <w:pPr>
        <w:spacing w:after="120"/>
      </w:pPr>
    </w:p>
    <w:p>
      <w:pPr>
        <w:pStyle w:val="Heading2"/>
        <w:spacing w:after="160" w:before="280"/>
      </w:pPr>
      <w:r>
        <w:rPr>
          <w:rFonts w:ascii="Arial" w:cs="Arial" w:eastAsia="Arial" w:hAnsi="Arial"/>
          <w:b/>
          <w:bCs/>
          <w:color w:val="2E75B6"/>
          <w:sz w:val="26"/>
          <w:szCs w:val="26"/>
        </w:rPr>
        <w:t xml:space="preserve">Key Risk Factors</w:t>
      </w:r>
    </w:p>
    <w:p>
      <w:pPr>
        <w:spacing w:after="160"/>
        <w:jc w:val="left"/>
      </w:pPr>
      <w:r>
        <w:rPr>
          <w:rFonts w:ascii="Arial" w:cs="Arial" w:eastAsia="Arial" w:hAnsi="Arial"/>
          <w:b w:val="false"/>
          <w:bCs w:val="false"/>
          <w:i w:val="false"/>
          <w:iCs w:val="false"/>
          <w:color w:val="000000"/>
          <w:sz w:val="20"/>
          <w:szCs w:val="20"/>
        </w:rPr>
        <w:t xml:space="preserve">Act 60 eligibility is not automatic. Puerto Rico’s incentives framework is activity- and sector-specific. A standard local-service car wash may not qualify under the most commonly marketed export services provisions. The most viable pathway is Act 60 Chapter 7 (Green Energy) if the project incorporates solar generation and battery storage. All incentive assumptions require CPA and legal counsel confirmation before marketing to investors.</w:t>
      </w:r>
    </w:p>
    <w:p>
      <w:pPr>
        <w:spacing w:after="160"/>
        <w:jc w:val="left"/>
      </w:pPr>
      <w:r>
        <w:rPr>
          <w:rFonts w:ascii="Arial" w:cs="Arial" w:eastAsia="Arial" w:hAnsi="Arial"/>
          <w:b w:val="false"/>
          <w:bCs w:val="false"/>
          <w:i w:val="false"/>
          <w:iCs w:val="false"/>
          <w:color w:val="000000"/>
          <w:sz w:val="20"/>
          <w:szCs w:val="20"/>
        </w:rPr>
        <w:t xml:space="preserve">Bonus depreciation usability depends on investor structure. The 100% bonus depreciation restored under the One Big Beautiful Bill Act (OBBBA, signed July 4, 2025) is a U.S. federal income tax mechanism. Its value depends on whether the investment entity is a U.S. federal taxpayer, whether investors can use pass-through losses (passive activity and at-risk limitations apply), and whether Puerto Rico’s tax treatment conforms to or diverges from federal provisions.</w:t>
      </w:r>
    </w:p>
    <w:p>
      <w:pPr>
        <w:spacing w:after="160"/>
        <w:jc w:val="left"/>
      </w:pPr>
      <w:r>
        <w:rPr>
          <w:rFonts w:ascii="Arial" w:cs="Arial" w:eastAsia="Arial" w:hAnsi="Arial"/>
          <w:b w:val="false"/>
          <w:bCs w:val="false"/>
          <w:i w:val="false"/>
          <w:iCs w:val="false"/>
          <w:color w:val="000000"/>
          <w:sz w:val="20"/>
          <w:szCs w:val="20"/>
        </w:rPr>
        <w:t xml:space="preserve">Utility costs and reliability are material. High electricity prices, water scarcity risk, and infrastructure resilience post-hurricane require deliberate design investment in energy efficiency, water reclaim, and backup power.</w:t>
      </w:r>
    </w:p>
    <w:p>
      <w:r>
        <w:br w:type="page"/>
      </w:r>
    </w:p>
    <w:p>
      <w:pPr>
        <w:pStyle w:val="Heading1"/>
        <w:spacing w:after="200" w:before="360"/>
      </w:pPr>
      <w:r>
        <w:rPr>
          <w:rFonts w:ascii="Arial" w:cs="Arial" w:eastAsia="Arial" w:hAnsi="Arial"/>
          <w:b/>
          <w:bCs/>
          <w:color w:val="1B3A5C"/>
          <w:sz w:val="32"/>
          <w:szCs w:val="32"/>
        </w:rPr>
        <w:t xml:space="preserve">2. Licensing, Permits &amp; Regulatory Compliance</w:t>
      </w:r>
    </w:p>
    <w:p>
      <w:pPr>
        <w:spacing w:after="160"/>
        <w:jc w:val="left"/>
      </w:pPr>
      <w:r>
        <w:rPr>
          <w:rFonts w:ascii="Arial" w:cs="Arial" w:eastAsia="Arial" w:hAnsi="Arial"/>
          <w:b w:val="false"/>
          <w:bCs w:val="false"/>
          <w:i w:val="false"/>
          <w:iCs w:val="false"/>
          <w:color w:val="000000"/>
          <w:sz w:val="20"/>
          <w:szCs w:val="20"/>
        </w:rPr>
        <w:t xml:space="preserve">This section serves as an operational compliance checklist for both construction/development and operating an automated wash with best-practice water controls. Puerto Rico permitting is governed by the Integrated Permitting framework and the Permiso Único process administered by OGPe (Oficina de Gerencia de Permisos) under Puerto Rico’s planning/permits framework.</w:t>
      </w:r>
    </w:p>
    <w:p>
      <w:pPr>
        <w:pStyle w:val="Heading2"/>
        <w:spacing w:after="160" w:before="280"/>
      </w:pPr>
      <w:r>
        <w:rPr>
          <w:rFonts w:ascii="Arial" w:cs="Arial" w:eastAsia="Arial" w:hAnsi="Arial"/>
          <w:b/>
          <w:bCs/>
          <w:color w:val="2E75B6"/>
          <w:sz w:val="26"/>
          <w:szCs w:val="26"/>
        </w:rPr>
        <w:t xml:space="preserve">2.1 Compliance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400"/>
        <w:gridCol w:w="1800"/>
        <w:gridCol w:w="1600"/>
        <w:gridCol w:w="2160"/>
      </w:tblGrid>
      <w:tr>
        <w:tc>
          <w:tcPr>
            <w:tcW w:type="dxa" w:w="14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Stage</w:t>
            </w:r>
          </w:p>
        </w:tc>
        <w:tc>
          <w:tcPr>
            <w:tcW w:type="dxa" w:w="24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What You Need</w:t>
            </w:r>
          </w:p>
        </w:tc>
        <w:tc>
          <w:tcPr>
            <w:tcW w:type="dxa" w:w="18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Authority</w:t>
            </w:r>
          </w:p>
        </w:tc>
        <w:tc>
          <w:tcPr>
            <w:tcW w:type="dxa" w:w="16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Timeline</w:t>
            </w:r>
          </w:p>
        </w:tc>
        <w:tc>
          <w:tcPr>
            <w:tcW w:type="dxa" w:w="216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Cost</w:t>
            </w:r>
          </w:p>
        </w:tc>
      </w:tr>
      <w:tr>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Entity Formation</w:t>
            </w:r>
          </w:p>
        </w:tc>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Register legal entity, file organizational docs</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Departamento de Estado</w:t>
            </w:r>
          </w:p>
        </w:tc>
        <w:tc>
          <w:tcPr>
            <w:tcW w:type="dxa" w:w="16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1–10 business days</w:t>
            </w:r>
          </w:p>
        </w:tc>
        <w:tc>
          <w:tcPr>
            <w:tcW w:type="dxa" w:w="2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Filing fees vary</w:t>
            </w:r>
          </w:p>
        </w:tc>
      </w:tr>
      <w:tr>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Municipal Business License</w:t>
            </w:r>
          </w:p>
        </w:tc>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Patente Municipal + local tax registration</w:t>
            </w:r>
          </w:p>
        </w:tc>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Municipality</w:t>
            </w:r>
          </w:p>
        </w:tc>
        <w:tc>
          <w:tcPr>
            <w:tcW w:type="dxa" w:w="16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2–8 weeks</w:t>
            </w:r>
          </w:p>
        </w:tc>
        <w:tc>
          <w:tcPr>
            <w:tcW w:type="dxa" w:w="2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0.5% of gross receipts</w:t>
            </w:r>
          </w:p>
        </w:tc>
      </w:tr>
      <w:tr>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Tax Registration</w:t>
            </w:r>
          </w:p>
        </w:tc>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Merchant Registration (Form AS 2914.1)</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Hacienda (Treasury)</w:t>
            </w:r>
          </w:p>
        </w:tc>
        <w:tc>
          <w:tcPr>
            <w:tcW w:type="dxa" w:w="16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1–4 weeks</w:t>
            </w:r>
          </w:p>
        </w:tc>
        <w:tc>
          <w:tcPr>
            <w:tcW w:type="dxa" w:w="2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No fee</w:t>
            </w:r>
          </w:p>
        </w:tc>
      </w:tr>
      <w:tr>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Zoning Confirmation</w:t>
            </w:r>
          </w:p>
        </w:tc>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Land-use compatibility under applicable district</w:t>
            </w:r>
          </w:p>
        </w:tc>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Junta de Planificación / Municipality</w:t>
            </w:r>
          </w:p>
        </w:tc>
        <w:tc>
          <w:tcPr>
            <w:tcW w:type="dxa" w:w="16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2–8+ weeks</w:t>
            </w:r>
          </w:p>
        </w:tc>
        <w:tc>
          <w:tcPr>
            <w:tcW w:type="dxa" w:w="2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Case-dependent</w:t>
            </w:r>
          </w:p>
        </w:tc>
      </w:tr>
      <w:tr>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Construction Permits</w:t>
            </w:r>
          </w:p>
        </w:tc>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Permiso Único via SBP portal</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OGPe / Municipality</w:t>
            </w:r>
          </w:p>
        </w:tc>
        <w:tc>
          <w:tcPr>
            <w:tcW w:type="dxa" w:w="16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3–9+ months</w:t>
            </w:r>
          </w:p>
        </w:tc>
        <w:tc>
          <w:tcPr>
            <w:tcW w:type="dxa" w:w="2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Permit fees vary</w:t>
            </w:r>
          </w:p>
        </w:tc>
      </w:tr>
      <w:tr>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Erosion &amp; Sediment Control</w:t>
            </w:r>
          </w:p>
        </w:tc>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Plan CES + compliance package</w:t>
            </w:r>
          </w:p>
        </w:tc>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PR Environmental Authorities</w:t>
            </w:r>
          </w:p>
        </w:tc>
        <w:tc>
          <w:tcPr>
            <w:tcW w:type="dxa" w:w="16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1–6 weeks</w:t>
            </w:r>
          </w:p>
        </w:tc>
        <w:tc>
          <w:tcPr>
            <w:tcW w:type="dxa" w:w="2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Engineering fees vary</w:t>
            </w:r>
          </w:p>
        </w:tc>
      </w:tr>
      <w:tr>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Construction Stormwater</w:t>
            </w:r>
          </w:p>
        </w:tc>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NPDES CGP coverage + SWPPP</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EPA Region 2</w:t>
            </w:r>
          </w:p>
        </w:tc>
        <w:tc>
          <w:tcPr>
            <w:tcW w:type="dxa" w:w="16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2–6 weeks</w:t>
            </w:r>
          </w:p>
        </w:tc>
        <w:tc>
          <w:tcPr>
            <w:tcW w:type="dxa" w:w="2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NOI + SWPPP costs</w:t>
            </w:r>
          </w:p>
        </w:tc>
      </w:tr>
      <w:tr>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Industrial Stormwater</w:t>
            </w:r>
          </w:p>
        </w:tc>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MSGP coverage if triggered</w:t>
            </w:r>
          </w:p>
        </w:tc>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EPA Region 2</w:t>
            </w:r>
          </w:p>
        </w:tc>
        <w:tc>
          <w:tcPr>
            <w:tcW w:type="dxa" w:w="16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Case-specific</w:t>
            </w:r>
          </w:p>
        </w:tc>
        <w:tc>
          <w:tcPr>
            <w:tcW w:type="dxa" w:w="2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Case-specific</w:t>
            </w:r>
          </w:p>
        </w:tc>
      </w:tr>
      <w:tr>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Water/Sewer Service</w:t>
            </w:r>
          </w:p>
        </w:tc>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AAA connection approval + meter sizing</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AAA</w:t>
            </w:r>
          </w:p>
        </w:tc>
        <w:tc>
          <w:tcPr>
            <w:tcW w:type="dxa" w:w="16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1–4+ months</w:t>
            </w:r>
          </w:p>
        </w:tc>
        <w:tc>
          <w:tcPr>
            <w:tcW w:type="dxa" w:w="2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Connection fees vary</w:t>
            </w:r>
          </w:p>
        </w:tc>
      </w:tr>
      <w:tr>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Electrical Service</w:t>
            </w:r>
          </w:p>
        </w:tc>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LUMA service application + transformer</w:t>
            </w:r>
          </w:p>
        </w:tc>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LUMA Energy / PREB</w:t>
            </w:r>
          </w:p>
        </w:tc>
        <w:tc>
          <w:tcPr>
            <w:tcW w:type="dxa" w:w="16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2–6+ months</w:t>
            </w:r>
          </w:p>
        </w:tc>
        <w:tc>
          <w:tcPr>
            <w:tcW w:type="dxa" w:w="2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Utility scope-dependent</w:t>
            </w:r>
          </w:p>
        </w:tc>
      </w:tr>
      <w:tr>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Fire Prevention</w:t>
            </w:r>
          </w:p>
        </w:tc>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Certificate included in Permiso Único</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OGPe (Bomberos)</w:t>
            </w:r>
          </w:p>
        </w:tc>
        <w:tc>
          <w:tcPr>
            <w:tcW w:type="dxa" w:w="16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Included</w:t>
            </w:r>
          </w:p>
        </w:tc>
        <w:tc>
          <w:tcPr>
            <w:tcW w:type="dxa" w:w="2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Included</w:t>
            </w:r>
          </w:p>
        </w:tc>
      </w:tr>
      <w:tr>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Sanitary License</w:t>
            </w:r>
          </w:p>
        </w:tc>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Included in Permiso Único</w:t>
            </w:r>
          </w:p>
        </w:tc>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OGPe (Salud)</w:t>
            </w:r>
          </w:p>
        </w:tc>
        <w:tc>
          <w:tcPr>
            <w:tcW w:type="dxa" w:w="16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Included</w:t>
            </w:r>
          </w:p>
        </w:tc>
        <w:tc>
          <w:tcPr>
            <w:tcW w:type="dxa" w:w="2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Included</w:t>
            </w:r>
          </w:p>
        </w:tc>
      </w:tr>
    </w:tbl>
    <w:p>
      <w:pPr>
        <w:spacing w:after="120"/>
      </w:pPr>
    </w:p>
    <w:p>
      <w:pPr>
        <w:pStyle w:val="Heading2"/>
        <w:spacing w:after="160" w:before="280"/>
      </w:pPr>
      <w:r>
        <w:rPr>
          <w:rFonts w:ascii="Arial" w:cs="Arial" w:eastAsia="Arial" w:hAnsi="Arial"/>
          <w:b/>
          <w:bCs/>
          <w:color w:val="2E75B6"/>
          <w:sz w:val="26"/>
          <w:szCs w:val="26"/>
        </w:rPr>
        <w:t xml:space="preserve">2.2 Environmental Compliance — Non-Negotiable Requirements</w:t>
      </w:r>
    </w:p>
    <w:p>
      <w:pPr>
        <w:spacing w:after="160"/>
        <w:jc w:val="left"/>
      </w:pPr>
      <w:r>
        <w:rPr>
          <w:rFonts w:ascii="Arial" w:cs="Arial" w:eastAsia="Arial" w:hAnsi="Arial"/>
          <w:b w:val="false"/>
          <w:bCs w:val="false"/>
          <w:i w:val="false"/>
          <w:iCs w:val="false"/>
          <w:color w:val="000000"/>
          <w:sz w:val="20"/>
          <w:szCs w:val="20"/>
        </w:rPr>
        <w:t xml:space="preserve">Construction-phase stormwater: A Clean Water Act NPDES permit is required for stormwater discharges from construction activity disturbing one acre or more (or smaller sites in a common plan of development exceeding one acre). Puerto Rico NPDES permitting is federally administered—EPA Region 2 issues all NPDES permits within Puerto Rico, not a delegated commonwealth agency.</w:t>
      </w:r>
    </w:p>
    <w:p>
      <w:pPr>
        <w:spacing w:after="160"/>
        <w:jc w:val="left"/>
      </w:pPr>
      <w:r>
        <w:rPr>
          <w:rFonts w:ascii="Arial" w:cs="Arial" w:eastAsia="Arial" w:hAnsi="Arial"/>
          <w:b w:val="false"/>
          <w:bCs w:val="false"/>
          <w:i w:val="false"/>
          <w:iCs w:val="false"/>
          <w:color w:val="000000"/>
          <w:sz w:val="20"/>
          <w:szCs w:val="20"/>
        </w:rPr>
        <w:t xml:space="preserve">Erosion and sedimentation: Puerto Rico has a dedicated erosion and sedimentation control regulation (Plan CES) used in permitting and compliance. All construction projects must implement erosion and sediment control best management practices (BMPs).</w:t>
      </w:r>
    </w:p>
    <w:p>
      <w:pPr>
        <w:spacing w:after="160"/>
        <w:jc w:val="left"/>
      </w:pPr>
      <w:r>
        <w:rPr>
          <w:rFonts w:ascii="Arial" w:cs="Arial" w:eastAsia="Arial" w:hAnsi="Arial"/>
          <w:b w:val="false"/>
          <w:bCs w:val="false"/>
          <w:i w:val="false"/>
          <w:iCs w:val="false"/>
          <w:color w:val="000000"/>
          <w:sz w:val="20"/>
          <w:szCs w:val="20"/>
        </w:rPr>
        <w:t xml:space="preserve">Operational wash-water management must be engineered around sanitary sewer discharge compatibility, pretreatment expectations (oil/water separation, grit/sediment removal), and a reclaim system sized to flatten peak inflow and reduce total fresh-water draw.</w:t>
      </w:r>
    </w:p>
    <w:p>
      <w:pPr>
        <w:spacing w:after="160"/>
        <w:jc w:val="left"/>
      </w:pPr>
      <w:r>
        <w:rPr>
          <w:rFonts w:ascii="Arial" w:cs="Arial" w:eastAsia="Arial" w:hAnsi="Arial"/>
          <w:b w:val="false"/>
          <w:bCs w:val="false"/>
          <w:i w:val="false"/>
          <w:iCs w:val="false"/>
          <w:color w:val="000000"/>
          <w:sz w:val="20"/>
          <w:szCs w:val="20"/>
        </w:rPr>
        <w:t xml:space="preserve">Water quality standards: Per Puerto Rico Water Quality Standards Regulation, discharged water must be substantially free from floating non-petroleum oils and greases, and substantially free from petroleum-derived oils and greases. DNER (Departamento de Recursos Naturales y Ambientales) issues water quality certifications required before discharge authorization.</w:t>
      </w:r>
    </w:p>
    <w:p>
      <w:pPr>
        <w:pStyle w:val="Heading2"/>
        <w:spacing w:after="160" w:before="280"/>
      </w:pPr>
      <w:r>
        <w:rPr>
          <w:rFonts w:ascii="Arial" w:cs="Arial" w:eastAsia="Arial" w:hAnsi="Arial"/>
          <w:b/>
          <w:bCs/>
          <w:color w:val="2E75B6"/>
          <w:sz w:val="26"/>
          <w:szCs w:val="26"/>
        </w:rPr>
        <w:t xml:space="preserve">2.3 Key Permitting Timeline</w:t>
      </w:r>
    </w:p>
    <w:p>
      <w:pPr>
        <w:spacing w:after="160"/>
        <w:jc w:val="left"/>
      </w:pPr>
      <w:r>
        <w:rPr>
          <w:rFonts w:ascii="Arial" w:cs="Arial" w:eastAsia="Arial" w:hAnsi="Arial"/>
          <w:b w:val="false"/>
          <w:bCs w:val="false"/>
          <w:i w:val="false"/>
          <w:iCs w:val="false"/>
          <w:color w:val="000000"/>
          <w:sz w:val="20"/>
          <w:szCs w:val="20"/>
        </w:rPr>
        <w:t xml:space="preserve">Critical path items for a ground-up car wash build in Puerto Rico typically follow this sequence: (1) Entity formation and tax registration (1–4 weeks), (2) Site acquisition and zoning confirmation (2–8 weeks concurrent), (3) Engineering design and OGPe Permiso Único filing (3–9 months), (4) AAA and LUMA service applications (1–6 months, often the longest lead item), (5) Construction with SWPPP compliance (6–12 months), (6) Final inspections and operating permits (2–4 weeks).</w:t>
      </w:r>
    </w:p>
    <w:p>
      <w:pPr>
        <w:spacing w:after="160"/>
        <w:jc w:val="left"/>
      </w:pPr>
      <w:r>
        <w:rPr>
          <w:rFonts w:ascii="Arial" w:cs="Arial" w:eastAsia="Arial" w:hAnsi="Arial"/>
          <w:b w:val="false"/>
          <w:bCs w:val="false"/>
          <w:i/>
          <w:iCs/>
          <w:color w:val="666666"/>
          <w:sz w:val="20"/>
          <w:szCs w:val="20"/>
        </w:rPr>
        <w:t xml:space="preserve">Total development timeline from site selection to ribbon-cutting: 12–24 months depending on site conditions, utility availability, and permitting complexity.</w:t>
      </w:r>
    </w:p>
    <w:p>
      <w:r>
        <w:br w:type="page"/>
      </w:r>
    </w:p>
    <w:p>
      <w:pPr>
        <w:pStyle w:val="Heading1"/>
        <w:spacing w:after="200" w:before="360"/>
      </w:pPr>
      <w:r>
        <w:rPr>
          <w:rFonts w:ascii="Arial" w:cs="Arial" w:eastAsia="Arial" w:hAnsi="Arial"/>
          <w:b/>
          <w:bCs/>
          <w:color w:val="1B3A5C"/>
          <w:sz w:val="32"/>
          <w:szCs w:val="32"/>
        </w:rPr>
        <w:t xml:space="preserve">3. Market Analysis &amp; Competitive Landscape</w:t>
      </w:r>
    </w:p>
    <w:p>
      <w:pPr>
        <w:pStyle w:val="Heading2"/>
        <w:spacing w:after="160" w:before="280"/>
      </w:pPr>
      <w:r>
        <w:rPr>
          <w:rFonts w:ascii="Arial" w:cs="Arial" w:eastAsia="Arial" w:hAnsi="Arial"/>
          <w:b/>
          <w:bCs/>
          <w:color w:val="2E75B6"/>
          <w:sz w:val="26"/>
          <w:szCs w:val="26"/>
        </w:rPr>
        <w:t xml:space="preserve">3.1 U.S. Car Wash Industry Overview</w:t>
      </w:r>
    </w:p>
    <w:p>
      <w:pPr>
        <w:spacing w:after="160"/>
        <w:jc w:val="left"/>
      </w:pPr>
      <w:r>
        <w:rPr>
          <w:rFonts w:ascii="Arial" w:cs="Arial" w:eastAsia="Arial" w:hAnsi="Arial"/>
          <w:b w:val="false"/>
          <w:bCs w:val="false"/>
          <w:i w:val="false"/>
          <w:iCs w:val="false"/>
          <w:color w:val="000000"/>
          <w:sz w:val="20"/>
          <w:szCs w:val="20"/>
        </w:rPr>
        <w:t xml:space="preserve">The U.S. car wash industry generates approximately $18.7–$20.7 billion in annual revenue (2025), with an estimated 80,000 professional wash facilities across the country. The industry maintains strong profitability with average gross margins near 80% and operating profit margins of 14–26%. Grand View Research projects the U.S. market reaching $17.01 billion by 2033 at a 1.1% CAGR, while ICA reports total industry profit of $3.0 billion in 2025.</w:t>
      </w:r>
    </w:p>
    <w:p>
      <w:pPr>
        <w:pStyle w:val="Heading2"/>
        <w:spacing w:after="160" w:before="280"/>
      </w:pPr>
      <w:r>
        <w:rPr>
          <w:rFonts w:ascii="Arial" w:cs="Arial" w:eastAsia="Arial" w:hAnsi="Arial"/>
          <w:b/>
          <w:bCs/>
          <w:color w:val="2E75B6"/>
          <w:sz w:val="26"/>
          <w:szCs w:val="26"/>
        </w:rPr>
        <w:t xml:space="preserve">3.2 Competitive Formats in Puerto Rico</w:t>
      </w:r>
    </w:p>
    <w:p>
      <w:pPr>
        <w:spacing w:after="160"/>
        <w:jc w:val="left"/>
      </w:pPr>
      <w:r>
        <w:rPr>
          <w:rFonts w:ascii="Arial" w:cs="Arial" w:eastAsia="Arial" w:hAnsi="Arial"/>
          <w:b w:val="false"/>
          <w:bCs w:val="false"/>
          <w:i w:val="false"/>
          <w:iCs w:val="false"/>
          <w:color w:val="000000"/>
          <w:sz w:val="20"/>
          <w:szCs w:val="20"/>
        </w:rPr>
        <w:t xml:space="preserve">Puerto Rico’s car wash market operates across four competitive formats, often blended on-site: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5160"/>
        <w:gridCol w:w="2000"/>
      </w:tblGrid>
      <w:tr>
        <w:tc>
          <w:tcPr>
            <w:tcW w:type="dxa" w:w="22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Format</w:t>
            </w:r>
          </w:p>
        </w:tc>
        <w:tc>
          <w:tcPr>
            <w:tcW w:type="dxa" w:w="516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Characteristics</w:t>
            </w:r>
          </w:p>
        </w:tc>
        <w:tc>
          <w:tcPr>
            <w:tcW w:type="dxa" w:w="20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CapEx Level</w:t>
            </w:r>
          </w:p>
        </w:tc>
      </w:tr>
      <w:tr>
        <w:tc>
          <w:tcPr>
            <w:tcW w:type="dxa" w:w="2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Express Exterior Tunnel</w:t>
            </w:r>
          </w:p>
        </w:tc>
        <w:tc>
          <w:tcPr>
            <w:tcW w:type="dxa" w:w="5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High throughput; membership-led; strong brand/value proposition; 120–180 cars/hour potential</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Highest</w:t>
            </w:r>
          </w:p>
        </w:tc>
      </w:tr>
      <w:tr>
        <w:tc>
          <w:tcPr>
            <w:tcW w:type="dxa" w:w="2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In-Bay Automatic (Rollover)</w:t>
            </w:r>
          </w:p>
        </w:tc>
        <w:tc>
          <w:tcPr>
            <w:tcW w:type="dxa" w:w="5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Lower CapEx, smaller footprint; common near convenience/gas nodes</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Moderate</w:t>
            </w:r>
          </w:p>
        </w:tc>
      </w:tr>
      <w:tr>
        <w:tc>
          <w:tcPr>
            <w:tcW w:type="dxa" w:w="2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Self-Serve Bays</w:t>
            </w:r>
          </w:p>
        </w:tc>
        <w:tc>
          <w:tcPr>
            <w:tcW w:type="dxa" w:w="5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Price-sensitive customers; moderate capex; maintenance intensive</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Moderate</w:t>
            </w:r>
          </w:p>
        </w:tc>
      </w:tr>
      <w:tr>
        <w:tc>
          <w:tcPr>
            <w:tcW w:type="dxa" w:w="2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Hand Wash / Detail-Heavy</w:t>
            </w:r>
          </w:p>
        </w:tc>
        <w:tc>
          <w:tcPr>
            <w:tcW w:type="dxa" w:w="5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Labor-intensive; local differentiation; limited scalability</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Lower</w:t>
            </w:r>
          </w:p>
        </w:tc>
      </w:tr>
    </w:tbl>
    <w:p>
      <w:pPr>
        <w:spacing w:after="120"/>
      </w:pPr>
    </w:p>
    <w:p>
      <w:pPr>
        <w:pStyle w:val="Heading2"/>
        <w:spacing w:after="160" w:before="280"/>
      </w:pPr>
      <w:r>
        <w:rPr>
          <w:rFonts w:ascii="Arial" w:cs="Arial" w:eastAsia="Arial" w:hAnsi="Arial"/>
          <w:b/>
          <w:bCs/>
          <w:color w:val="2E75B6"/>
          <w:sz w:val="26"/>
          <w:szCs w:val="26"/>
        </w:rPr>
        <w:t xml:space="preserve">3.3 Puerto Rico Demand Drivers</w:t>
      </w:r>
    </w:p>
    <w:p>
      <w:pPr>
        <w:spacing w:after="160"/>
        <w:jc w:val="left"/>
      </w:pPr>
      <w:r>
        <w:rPr>
          <w:rFonts w:ascii="Arial" w:cs="Arial" w:eastAsia="Arial" w:hAnsi="Arial"/>
          <w:b w:val="false"/>
          <w:bCs w:val="false"/>
          <w:i w:val="false"/>
          <w:iCs w:val="false"/>
          <w:color w:val="000000"/>
          <w:sz w:val="20"/>
          <w:szCs w:val="20"/>
        </w:rPr>
        <w:t xml:space="preserve">Tourism and visitor economy tailwinds: Puerto Rico tourism closed 2025 surpassing historical benchmarks, marking consecutive record-breaking years. Airport passenger arrivals exceeded 6.8 million in 2025, and offshore visitor spending was estimated at $7.1B in 2024 with projected growth to $7.8B in 2025. Approximately 60% of air visitors opt to rent vehicles, creating sustained demand for fleet wash services in the San Juan metro and airport corridor.</w:t>
      </w:r>
    </w:p>
    <w:p>
      <w:pPr>
        <w:spacing w:after="160"/>
        <w:jc w:val="left"/>
      </w:pPr>
      <w:r>
        <w:rPr>
          <w:rFonts w:ascii="Arial" w:cs="Arial" w:eastAsia="Arial" w:hAnsi="Arial"/>
          <w:b w:val="false"/>
          <w:bCs w:val="false"/>
          <w:i w:val="false"/>
          <w:iCs w:val="false"/>
          <w:color w:val="000000"/>
          <w:sz w:val="20"/>
          <w:szCs w:val="20"/>
        </w:rPr>
        <w:t xml:space="preserve">Vehicle registration base: Puerto Rico recorded approximately 110,983 new vehicle sales in 2025 (down 9% from 2024), with fleet sales growing 3.77% to represent 10.5% of total market share. The total registered vehicle population of approximately 2.1 million provides a substantial base for recurring wash demand.</w:t>
      </w:r>
    </w:p>
    <w:p>
      <w:pPr>
        <w:spacing w:after="160"/>
        <w:jc w:val="left"/>
      </w:pPr>
      <w:r>
        <w:rPr>
          <w:rFonts w:ascii="Arial" w:cs="Arial" w:eastAsia="Arial" w:hAnsi="Arial"/>
          <w:b w:val="false"/>
          <w:bCs w:val="false"/>
          <w:i w:val="false"/>
          <w:iCs w:val="false"/>
          <w:color w:val="000000"/>
          <w:sz w:val="20"/>
          <w:szCs w:val="20"/>
        </w:rPr>
        <w:t xml:space="preserve">Utility economics favor automation: Puerto Rico’s commercial electricity prices (high-$0.20s/kWh range) raise the value of energy-efficient blower packages, smart controls, and on-site energy strategies. The minimum wage floor of $10.50/hour supports the business case for investing in automation (pay stations, LPR, queue optimization) over labor-intensive models.</w:t>
      </w:r>
    </w:p>
    <w:p>
      <w:pPr>
        <w:pStyle w:val="Heading2"/>
        <w:spacing w:after="160" w:before="280"/>
      </w:pPr>
      <w:r>
        <w:rPr>
          <w:rFonts w:ascii="Arial" w:cs="Arial" w:eastAsia="Arial" w:hAnsi="Arial"/>
          <w:b/>
          <w:bCs/>
          <w:color w:val="2E75B6"/>
          <w:sz w:val="26"/>
          <w:szCs w:val="26"/>
        </w:rPr>
        <w:t xml:space="preserve">3.4 Competitive Gaps and Opportunity Logic</w:t>
      </w:r>
    </w:p>
    <w:p>
      <w:pPr>
        <w:spacing w:after="160"/>
        <w:jc w:val="left"/>
      </w:pPr>
      <w:r>
        <w:rPr>
          <w:rFonts w:ascii="Arial" w:cs="Arial" w:eastAsia="Arial" w:hAnsi="Arial"/>
          <w:b w:val="false"/>
          <w:bCs w:val="false"/>
          <w:i w:val="false"/>
          <w:iCs w:val="false"/>
          <w:color w:val="000000"/>
          <w:sz w:val="20"/>
          <w:szCs w:val="20"/>
        </w:rPr>
        <w:t xml:space="preserve">The most investment-relevant gap logic for Puerto Rico centers on three factors: (1) High-traffic corridors with brand fragmentation—many small operators, few membership-grade express tunnels with modern technology stacks; (2) Tourism and retail nodes where time-constrained customers value speed and consistent quality; (3) Submarkets where water reliability and sewer capacity are favorable—a practical limiter that can protect returns if handled correctly during site selection.</w:t>
      </w:r>
    </w:p>
    <w:p>
      <w:pPr>
        <w:spacing w:after="160"/>
        <w:jc w:val="left"/>
      </w:pPr>
      <w:r>
        <w:rPr>
          <w:rFonts w:ascii="Arial" w:cs="Arial" w:eastAsia="Arial" w:hAnsi="Arial"/>
          <w:b w:val="false"/>
          <w:bCs w:val="false"/>
          <w:i w:val="false"/>
          <w:iCs w:val="false"/>
          <w:color w:val="000000"/>
          <w:sz w:val="20"/>
          <w:szCs w:val="20"/>
        </w:rPr>
        <w:t xml:space="preserve">ICA’s Q1 2026 CAR WASH Pulse report identifies site density and competition as the number-one industry concern for 2026, displacing input costs. This underscores the importance of disciplined site selection in markets where competitive room exists—precisely the opportunity Puerto Rico presents relative to saturated mainland markets.</w:t>
      </w:r>
    </w:p>
    <w:p>
      <w:r>
        <w:br w:type="page"/>
      </w:r>
    </w:p>
    <w:p>
      <w:pPr>
        <w:pStyle w:val="Heading1"/>
        <w:spacing w:after="200" w:before="360"/>
      </w:pPr>
      <w:r>
        <w:rPr>
          <w:rFonts w:ascii="Arial" w:cs="Arial" w:eastAsia="Arial" w:hAnsi="Arial"/>
          <w:b/>
          <w:bCs/>
          <w:color w:val="1B3A5C"/>
          <w:sz w:val="32"/>
          <w:szCs w:val="32"/>
        </w:rPr>
        <w:t xml:space="preserve">4. Market Projections &amp; Growth Data (2024–2030)</w:t>
      </w:r>
    </w:p>
    <w:p>
      <w:pPr>
        <w:pStyle w:val="Heading2"/>
        <w:spacing w:after="160" w:before="280"/>
      </w:pPr>
      <w:r>
        <w:rPr>
          <w:rFonts w:ascii="Arial" w:cs="Arial" w:eastAsia="Arial" w:hAnsi="Arial"/>
          <w:b/>
          <w:bCs/>
          <w:color w:val="2E75B6"/>
          <w:sz w:val="26"/>
          <w:szCs w:val="26"/>
        </w:rPr>
        <w:t xml:space="preserve">4.1 U.S. Market Size Projections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800"/>
        <w:gridCol w:w="1800"/>
        <w:gridCol w:w="4560"/>
      </w:tblGrid>
      <w:tr>
        <w:tc>
          <w:tcPr>
            <w:tcW w:type="dxa" w:w="12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Year</w:t>
            </w:r>
          </w:p>
        </w:tc>
        <w:tc>
          <w:tcPr>
            <w:tcW w:type="dxa" w:w="18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IBISWorld Est.</w:t>
            </w:r>
          </w:p>
        </w:tc>
        <w:tc>
          <w:tcPr>
            <w:tcW w:type="dxa" w:w="18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Grand View Est.</w:t>
            </w:r>
          </w:p>
        </w:tc>
        <w:tc>
          <w:tcPr>
            <w:tcW w:type="dxa" w:w="456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Market Commentary</w:t>
            </w:r>
          </w:p>
        </w:tc>
      </w:tr>
      <w:tr>
        <w:tc>
          <w:tcPr>
            <w:tcW w:type="dxa" w:w="1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2024</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$18.8B</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$15.1B</w:t>
            </w:r>
          </w:p>
        </w:tc>
        <w:tc>
          <w:tcPr>
            <w:tcW w:type="dxa" w:w="45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Baseline year</w:t>
            </w:r>
          </w:p>
        </w:tc>
      </w:tr>
      <w:tr>
        <w:tc>
          <w:tcPr>
            <w:tcW w:type="dxa" w:w="1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2025</w:t>
            </w:r>
          </w:p>
        </w:tc>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$18.7B</w:t>
            </w:r>
          </w:p>
        </w:tc>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$15.3B</w:t>
            </w:r>
          </w:p>
        </w:tc>
        <w:tc>
          <w:tcPr>
            <w:tcW w:type="dxa" w:w="45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Slight moderation; subscription growth flattening</w:t>
            </w:r>
          </w:p>
        </w:tc>
      </w:tr>
      <w:tr>
        <w:tc>
          <w:tcPr>
            <w:tcW w:type="dxa" w:w="1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2026</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$18.7B</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$15.5B</w:t>
            </w:r>
          </w:p>
        </w:tc>
        <w:tc>
          <w:tcPr>
            <w:tcW w:type="dxa" w:w="45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Single-digit growth; competition intensifying</w:t>
            </w:r>
          </w:p>
        </w:tc>
      </w:tr>
      <w:tr>
        <w:tc>
          <w:tcPr>
            <w:tcW w:type="dxa" w:w="1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2027</w:t>
            </w:r>
          </w:p>
        </w:tc>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$19.0B</w:t>
            </w:r>
          </w:p>
        </w:tc>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$15.6B</w:t>
            </w:r>
          </w:p>
        </w:tc>
        <w:tc>
          <w:tcPr>
            <w:tcW w:type="dxa" w:w="45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Stabilization with efficiency focus</w:t>
            </w:r>
          </w:p>
        </w:tc>
      </w:tr>
      <w:tr>
        <w:tc>
          <w:tcPr>
            <w:tcW w:type="dxa" w:w="1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2028</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$19.3B</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$15.8B</w:t>
            </w:r>
          </w:p>
        </w:tc>
        <w:tc>
          <w:tcPr>
            <w:tcW w:type="dxa" w:w="45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Moderate growth resumption</w:t>
            </w:r>
          </w:p>
        </w:tc>
      </w:tr>
      <w:tr>
        <w:tc>
          <w:tcPr>
            <w:tcW w:type="dxa" w:w="1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2029</w:t>
            </w:r>
          </w:p>
        </w:tc>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$19.5B</w:t>
            </w:r>
          </w:p>
        </w:tc>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$16.0B</w:t>
            </w:r>
          </w:p>
        </w:tc>
        <w:tc>
          <w:tcPr>
            <w:tcW w:type="dxa" w:w="45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Technology-driven margin improvement</w:t>
            </w:r>
          </w:p>
        </w:tc>
      </w:tr>
      <w:tr>
        <w:tc>
          <w:tcPr>
            <w:tcW w:type="dxa" w:w="1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2030</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$19.8B</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$16.3B</w:t>
            </w:r>
          </w:p>
        </w:tc>
        <w:tc>
          <w:tcPr>
            <w:tcW w:type="dxa" w:w="45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Mature market with consolidation</w:t>
            </w:r>
          </w:p>
        </w:tc>
      </w:tr>
    </w:tbl>
    <w:p>
      <w:pPr>
        <w:spacing w:after="120"/>
      </w:pPr>
    </w:p>
    <w:p>
      <w:pPr>
        <w:pStyle w:val="Heading2"/>
        <w:spacing w:after="160" w:before="280"/>
      </w:pPr>
      <w:r>
        <w:rPr>
          <w:rFonts w:ascii="Arial" w:cs="Arial" w:eastAsia="Arial" w:hAnsi="Arial"/>
          <w:b/>
          <w:bCs/>
          <w:color w:val="2E75B6"/>
          <w:sz w:val="26"/>
          <w:szCs w:val="26"/>
        </w:rPr>
        <w:t xml:space="preserve">4.2 Puerto Rico-Specific Growth Drivers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2000"/>
        <w:gridCol w:w="3360"/>
      </w:tblGrid>
      <w:tr>
        <w:tc>
          <w:tcPr>
            <w:tcW w:type="dxa" w:w="20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Indicator</w:t>
            </w:r>
          </w:p>
        </w:tc>
        <w:tc>
          <w:tcPr>
            <w:tcW w:type="dxa" w:w="20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Current</w:t>
            </w:r>
          </w:p>
        </w:tc>
        <w:tc>
          <w:tcPr>
            <w:tcW w:type="dxa" w:w="20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Projected</w:t>
            </w:r>
          </w:p>
        </w:tc>
        <w:tc>
          <w:tcPr>
            <w:tcW w:type="dxa" w:w="336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Impact on Car Wash</w:t>
            </w:r>
          </w:p>
        </w:tc>
      </w:tr>
      <w:tr>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Air Passenger Arrivals</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6.8M (2025)</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7.0–7.5M projected</w:t>
            </w:r>
          </w:p>
        </w:tc>
        <w:tc>
          <w:tcPr>
            <w:tcW w:type="dxa" w:w="33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Sustained tourism growth</w:t>
            </w:r>
          </w:p>
        </w:tc>
      </w:tr>
      <w:tr>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Visitor Spending</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$7.1B (2024)</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$7.8B+ (2025)</w:t>
            </w:r>
          </w:p>
        </w:tc>
        <w:tc>
          <w:tcPr>
            <w:tcW w:type="dxa" w:w="33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Record-breaking trajectory</w:t>
            </w:r>
          </w:p>
        </w:tc>
      </w:tr>
      <w:tr>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New Vehicle Sales</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110,983 (2025)</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~108,000 (2026)</w:t>
            </w:r>
          </w:p>
        </w:tc>
        <w:tc>
          <w:tcPr>
            <w:tcW w:type="dxa" w:w="33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Stabilizing; fleet segment growing</w:t>
            </w:r>
          </w:p>
        </w:tc>
      </w:tr>
      <w:tr>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Fleet Vehicle Share</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10.5% (2025)</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11–12% projected</w:t>
            </w:r>
          </w:p>
        </w:tc>
        <w:tc>
          <w:tcPr>
            <w:tcW w:type="dxa" w:w="33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Rental fleet demand increasing</w:t>
            </w:r>
          </w:p>
        </w:tc>
      </w:tr>
      <w:tr>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Commercial Electricity</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$0.25–$0.30/kWh</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Rate review pending</w:t>
            </w:r>
          </w:p>
        </w:tc>
        <w:tc>
          <w:tcPr>
            <w:tcW w:type="dxa" w:w="33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Favors energy-efficient design</w:t>
            </w:r>
          </w:p>
        </w:tc>
      </w:tr>
    </w:tbl>
    <w:p>
      <w:pPr>
        <w:spacing w:after="120"/>
      </w:pPr>
    </w:p>
    <w:p>
      <w:pPr>
        <w:pStyle w:val="Heading2"/>
        <w:spacing w:after="160" w:before="280"/>
      </w:pPr>
      <w:r>
        <w:rPr>
          <w:rFonts w:ascii="Arial" w:cs="Arial" w:eastAsia="Arial" w:hAnsi="Arial"/>
          <w:b/>
          <w:bCs/>
          <w:color w:val="2E75B6"/>
          <w:sz w:val="26"/>
          <w:szCs w:val="26"/>
        </w:rPr>
        <w:t xml:space="preserve">4.3 Comparable Market Benchmarks</w:t>
      </w:r>
    </w:p>
    <w:p>
      <w:pPr>
        <w:spacing w:after="160"/>
        <w:jc w:val="left"/>
      </w:pPr>
      <w:r>
        <w:rPr>
          <w:rFonts w:ascii="Arial" w:cs="Arial" w:eastAsia="Arial" w:hAnsi="Arial"/>
          <w:b w:val="false"/>
          <w:bCs w:val="false"/>
          <w:i w:val="false"/>
          <w:iCs w:val="false"/>
          <w:color w:val="000000"/>
          <w:sz w:val="20"/>
          <w:szCs w:val="20"/>
        </w:rPr>
        <w:t xml:space="preserve">Caribbean and U.S. island markets share structural similarities with Puerto Rico: high logistics costs, utility price premiums, tourism-driven vehicle demand, and limited competition from national express tunnel chains. Puerto Rico’s advantages include U.S. legal and regulatory framework (no customs barriers for equipment), access to mainland suppliers and financing, and a large permanent residential population (3.2 million) supplementing tourism demand.</w:t>
      </w:r>
    </w:p>
    <w:p>
      <w:pPr>
        <w:spacing w:after="160"/>
        <w:jc w:val="left"/>
      </w:pPr>
      <w:r>
        <w:rPr>
          <w:rFonts w:ascii="Arial" w:cs="Arial" w:eastAsia="Arial" w:hAnsi="Arial"/>
          <w:b w:val="false"/>
          <w:bCs w:val="false"/>
          <w:i w:val="false"/>
          <w:iCs w:val="false"/>
          <w:color w:val="000000"/>
          <w:sz w:val="20"/>
          <w:szCs w:val="20"/>
        </w:rPr>
        <w:t xml:space="preserve">Industry-wide, the ICA reports that membership/subscription programs are the fastest-growing revenue line in the car wash sector, with median monthly pricing of $15–$25 for express exterior washes. Average monthly churn is approximately 7.6% (4.1% voluntary, 3.6% involuntary), and operators achieving 3+ washes per member in the first 30 days see 76% higher retention. These benchmarks should inform the Puerto Rico operating model design.</w:t>
      </w:r>
    </w:p>
    <w:p>
      <w:r>
        <w:br w:type="page"/>
      </w:r>
    </w:p>
    <w:p>
      <w:pPr>
        <w:pStyle w:val="Heading1"/>
        <w:spacing w:after="200" w:before="360"/>
      </w:pPr>
      <w:r>
        <w:rPr>
          <w:rFonts w:ascii="Arial" w:cs="Arial" w:eastAsia="Arial" w:hAnsi="Arial"/>
          <w:b/>
          <w:bCs/>
          <w:color w:val="1B3A5C"/>
          <w:sz w:val="32"/>
          <w:szCs w:val="32"/>
        </w:rPr>
        <w:t xml:space="preserve">5. Optimal Market Placement — 2–3 Location Portfolio</w:t>
      </w:r>
    </w:p>
    <w:p>
      <w:pPr>
        <w:spacing w:after="160"/>
        <w:jc w:val="left"/>
      </w:pPr>
      <w:r>
        <w:rPr>
          <w:rFonts w:ascii="Arial" w:cs="Arial" w:eastAsia="Arial" w:hAnsi="Arial"/>
          <w:b w:val="false"/>
          <w:bCs w:val="false"/>
          <w:i w:val="false"/>
          <w:iCs w:val="false"/>
          <w:color w:val="000000"/>
          <w:sz w:val="20"/>
          <w:szCs w:val="20"/>
        </w:rPr>
        <w:t xml:space="preserve">This section ranks municipal and corridor archetypes rather than claiming a fully enumerated competitor count by municipality (which should be completed in due diligence via a GIS listing audit and site visits). The goal is to build a complementary portfolio: one metro flagship, one secondary city/commuter node, and optionally one tourism/regional corridor site.</w:t>
      </w:r>
    </w:p>
    <w:p>
      <w:pPr>
        <w:pStyle w:val="Heading2"/>
        <w:spacing w:after="160" w:before="280"/>
      </w:pPr>
      <w:r>
        <w:rPr>
          <w:rFonts w:ascii="Arial" w:cs="Arial" w:eastAsia="Arial" w:hAnsi="Arial"/>
          <w:b/>
          <w:bCs/>
          <w:color w:val="2E75B6"/>
          <w:sz w:val="26"/>
          <w:szCs w:val="26"/>
        </w:rPr>
        <w:t xml:space="preserve">5.1 Portfolio Siting Scorecard</w:t>
      </w:r>
    </w:p>
    <w:p>
      <w:pPr>
        <w:spacing w:after="160"/>
        <w:jc w:val="left"/>
      </w:pPr>
      <w:r>
        <w:rPr>
          <w:rFonts w:ascii="Arial" w:cs="Arial" w:eastAsia="Arial" w:hAnsi="Arial"/>
          <w:b w:val="false"/>
          <w:bCs w:val="false"/>
          <w:i w:val="false"/>
          <w:iCs w:val="false"/>
          <w:color w:val="000000"/>
          <w:sz w:val="20"/>
          <w:szCs w:val="20"/>
        </w:rPr>
        <w:t xml:space="preserve">Scoring factors (1–5) use publicly observable demand proxies: tourism arrivals and occupancy concentration, arterial traffic corridors, retail intensity, and practical permitting/utility feasibility.</w:t>
      </w:r>
    </w:p>
    <w:tbl>
      <w:tblPr>
        <w:tblW w:type="dxa" w:w="8160"/>
        <w:tblBorders>
          <w:top w:val="single" w:color="auto" w:sz="4"/>
          <w:left w:val="single" w:color="auto" w:sz="4"/>
          <w:bottom w:val="single" w:color="auto" w:sz="4"/>
          <w:right w:val="single" w:color="auto" w:sz="4"/>
          <w:insideH w:val="single" w:color="auto" w:sz="4"/>
          <w:insideV w:val="single" w:color="auto" w:sz="4"/>
        </w:tblBorders>
      </w:tblPr>
      <w:tblGrid>
        <w:gridCol w:w="1800"/>
        <w:gridCol w:w="900"/>
        <w:gridCol w:w="900"/>
        <w:gridCol w:w="1200"/>
        <w:gridCol w:w="900"/>
        <w:gridCol w:w="1560"/>
        <w:gridCol w:w="900"/>
      </w:tblGrid>
      <w:tr>
        <w:tc>
          <w:tcPr>
            <w:tcW w:type="dxa" w:w="18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Market Zone</w:t>
            </w:r>
          </w:p>
        </w:tc>
        <w:tc>
          <w:tcPr>
            <w:tcW w:type="dxa" w:w="9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Demand</w:t>
            </w:r>
          </w:p>
        </w:tc>
        <w:tc>
          <w:tcPr>
            <w:tcW w:type="dxa" w:w="9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Tourism</w:t>
            </w:r>
          </w:p>
        </w:tc>
        <w:tc>
          <w:tcPr>
            <w:tcW w:type="dxa" w:w="12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Competition Room</w:t>
            </w:r>
          </w:p>
        </w:tc>
        <w:tc>
          <w:tcPr>
            <w:tcW w:type="dxa" w:w="9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Utility</w:t>
            </w:r>
          </w:p>
        </w:tc>
        <w:tc>
          <w:tcPr>
            <w:tcW w:type="dxa" w:w="156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Portfolio Role</w:t>
            </w:r>
          </w:p>
        </w:tc>
        <w:tc>
          <w:tcPr>
            <w:tcW w:type="dxa" w:w="9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Score</w:t>
            </w:r>
          </w:p>
        </w:tc>
      </w:tr>
      <w:tr>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Carolina (Airport/Isla Verde)</w:t>
            </w:r>
          </w:p>
        </w:tc>
        <w:tc>
          <w:tcPr>
            <w:tcW w:type="dxa" w:w="9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5</w:t>
            </w:r>
          </w:p>
        </w:tc>
        <w:tc>
          <w:tcPr>
            <w:tcW w:type="dxa" w:w="9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5</w:t>
            </w:r>
          </w:p>
        </w:tc>
        <w:tc>
          <w:tcPr>
            <w:tcW w:type="dxa" w:w="1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w:t>
            </w:r>
          </w:p>
        </w:tc>
        <w:tc>
          <w:tcPr>
            <w:tcW w:type="dxa" w:w="9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w:t>
            </w:r>
          </w:p>
        </w:tc>
        <w:tc>
          <w:tcPr>
            <w:tcW w:type="dxa" w:w="15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Metro Flagship</w:t>
            </w:r>
          </w:p>
        </w:tc>
        <w:tc>
          <w:tcPr>
            <w:tcW w:type="dxa" w:w="9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4.4</w:t>
            </w:r>
          </w:p>
        </w:tc>
      </w:tr>
      <w:tr>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San Juan Metro</w:t>
            </w:r>
          </w:p>
        </w:tc>
        <w:tc>
          <w:tcPr>
            <w:tcW w:type="dxa" w:w="9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5</w:t>
            </w:r>
          </w:p>
        </w:tc>
        <w:tc>
          <w:tcPr>
            <w:tcW w:type="dxa" w:w="9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w:t>
            </w:r>
          </w:p>
        </w:tc>
        <w:tc>
          <w:tcPr>
            <w:tcW w:type="dxa" w:w="1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2–3</w:t>
            </w:r>
          </w:p>
        </w:tc>
        <w:tc>
          <w:tcPr>
            <w:tcW w:type="dxa" w:w="9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w:t>
            </w:r>
          </w:p>
        </w:tc>
        <w:tc>
          <w:tcPr>
            <w:tcW w:type="dxa" w:w="15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Metro Alt.</w:t>
            </w:r>
          </w:p>
        </w:tc>
        <w:tc>
          <w:tcPr>
            <w:tcW w:type="dxa" w:w="9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4.0</w:t>
            </w:r>
          </w:p>
        </w:tc>
      </w:tr>
      <w:tr>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Bayamón / Guaynabo Belt</w:t>
            </w:r>
          </w:p>
        </w:tc>
        <w:tc>
          <w:tcPr>
            <w:tcW w:type="dxa" w:w="9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5</w:t>
            </w:r>
          </w:p>
        </w:tc>
        <w:tc>
          <w:tcPr>
            <w:tcW w:type="dxa" w:w="9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w:t>
            </w:r>
          </w:p>
        </w:tc>
        <w:tc>
          <w:tcPr>
            <w:tcW w:type="dxa" w:w="1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w:t>
            </w:r>
          </w:p>
        </w:tc>
        <w:tc>
          <w:tcPr>
            <w:tcW w:type="dxa" w:w="9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w:t>
            </w:r>
          </w:p>
        </w:tc>
        <w:tc>
          <w:tcPr>
            <w:tcW w:type="dxa" w:w="15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Membership Engine</w:t>
            </w:r>
          </w:p>
        </w:tc>
        <w:tc>
          <w:tcPr>
            <w:tcW w:type="dxa" w:w="9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4.0</w:t>
            </w:r>
          </w:p>
        </w:tc>
      </w:tr>
      <w:tr>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Dorado / Toa Baja</w:t>
            </w:r>
          </w:p>
        </w:tc>
        <w:tc>
          <w:tcPr>
            <w:tcW w:type="dxa" w:w="9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w:t>
            </w:r>
          </w:p>
        </w:tc>
        <w:tc>
          <w:tcPr>
            <w:tcW w:type="dxa" w:w="9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w:t>
            </w:r>
          </w:p>
        </w:tc>
        <w:tc>
          <w:tcPr>
            <w:tcW w:type="dxa" w:w="1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w:t>
            </w:r>
          </w:p>
        </w:tc>
        <w:tc>
          <w:tcPr>
            <w:tcW w:type="dxa" w:w="9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w:t>
            </w:r>
          </w:p>
        </w:tc>
        <w:tc>
          <w:tcPr>
            <w:tcW w:type="dxa" w:w="15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High-Ticket Mix</w:t>
            </w:r>
          </w:p>
        </w:tc>
        <w:tc>
          <w:tcPr>
            <w:tcW w:type="dxa" w:w="9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3.9</w:t>
            </w:r>
          </w:p>
        </w:tc>
      </w:tr>
      <w:tr>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Caguas Valley</w:t>
            </w:r>
          </w:p>
        </w:tc>
        <w:tc>
          <w:tcPr>
            <w:tcW w:type="dxa" w:w="9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w:t>
            </w:r>
          </w:p>
        </w:tc>
        <w:tc>
          <w:tcPr>
            <w:tcW w:type="dxa" w:w="9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w:t>
            </w:r>
          </w:p>
        </w:tc>
        <w:tc>
          <w:tcPr>
            <w:tcW w:type="dxa" w:w="1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w:t>
            </w:r>
          </w:p>
        </w:tc>
        <w:tc>
          <w:tcPr>
            <w:tcW w:type="dxa" w:w="9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w:t>
            </w:r>
          </w:p>
        </w:tc>
        <w:tc>
          <w:tcPr>
            <w:tcW w:type="dxa" w:w="15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Value + Volume</w:t>
            </w:r>
          </w:p>
        </w:tc>
        <w:tc>
          <w:tcPr>
            <w:tcW w:type="dxa" w:w="9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3.8</w:t>
            </w:r>
          </w:p>
        </w:tc>
      </w:tr>
      <w:tr>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Ponce (South Hub)</w:t>
            </w:r>
          </w:p>
        </w:tc>
        <w:tc>
          <w:tcPr>
            <w:tcW w:type="dxa" w:w="9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w:t>
            </w:r>
          </w:p>
        </w:tc>
        <w:tc>
          <w:tcPr>
            <w:tcW w:type="dxa" w:w="9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2–3</w:t>
            </w:r>
          </w:p>
        </w:tc>
        <w:tc>
          <w:tcPr>
            <w:tcW w:type="dxa" w:w="1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w:t>
            </w:r>
          </w:p>
        </w:tc>
        <w:tc>
          <w:tcPr>
            <w:tcW w:type="dxa" w:w="9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w:t>
            </w:r>
          </w:p>
        </w:tc>
        <w:tc>
          <w:tcPr>
            <w:tcW w:type="dxa" w:w="15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Secondary Anchor</w:t>
            </w:r>
          </w:p>
        </w:tc>
        <w:tc>
          <w:tcPr>
            <w:tcW w:type="dxa" w:w="9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3.6</w:t>
            </w:r>
          </w:p>
        </w:tc>
      </w:tr>
      <w:tr>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Mayagüez / Aguadilla</w:t>
            </w:r>
          </w:p>
        </w:tc>
        <w:tc>
          <w:tcPr>
            <w:tcW w:type="dxa" w:w="9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3–4</w:t>
            </w:r>
          </w:p>
        </w:tc>
        <w:tc>
          <w:tcPr>
            <w:tcW w:type="dxa" w:w="9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w:t>
            </w:r>
          </w:p>
        </w:tc>
        <w:tc>
          <w:tcPr>
            <w:tcW w:type="dxa" w:w="1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w:t>
            </w:r>
          </w:p>
        </w:tc>
        <w:tc>
          <w:tcPr>
            <w:tcW w:type="dxa" w:w="9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w:t>
            </w:r>
          </w:p>
        </w:tc>
        <w:tc>
          <w:tcPr>
            <w:tcW w:type="dxa" w:w="15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Regional Capture</w:t>
            </w:r>
          </w:p>
        </w:tc>
        <w:tc>
          <w:tcPr>
            <w:tcW w:type="dxa" w:w="9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3.5</w:t>
            </w:r>
          </w:p>
        </w:tc>
      </w:tr>
      <w:tr>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Arecibo (Northwest)</w:t>
            </w:r>
          </w:p>
        </w:tc>
        <w:tc>
          <w:tcPr>
            <w:tcW w:type="dxa" w:w="9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3–4</w:t>
            </w:r>
          </w:p>
        </w:tc>
        <w:tc>
          <w:tcPr>
            <w:tcW w:type="dxa" w:w="9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2–3</w:t>
            </w:r>
          </w:p>
        </w:tc>
        <w:tc>
          <w:tcPr>
            <w:tcW w:type="dxa" w:w="1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w:t>
            </w:r>
          </w:p>
        </w:tc>
        <w:tc>
          <w:tcPr>
            <w:tcW w:type="dxa" w:w="9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w:t>
            </w:r>
          </w:p>
        </w:tc>
        <w:tc>
          <w:tcPr>
            <w:tcW w:type="dxa" w:w="15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If Land Favorable</w:t>
            </w:r>
          </w:p>
        </w:tc>
        <w:tc>
          <w:tcPr>
            <w:tcW w:type="dxa" w:w="9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3.4</w:t>
            </w:r>
          </w:p>
        </w:tc>
      </w:tr>
    </w:tbl>
    <w:p>
      <w:pPr>
        <w:spacing w:after="120"/>
      </w:pPr>
    </w:p>
    <w:p>
      <w:pPr>
        <w:pStyle w:val="Heading2"/>
        <w:spacing w:after="160" w:before="280"/>
      </w:pPr>
      <w:r>
        <w:rPr>
          <w:rFonts w:ascii="Arial" w:cs="Arial" w:eastAsia="Arial" w:hAnsi="Arial"/>
          <w:b/>
          <w:bCs/>
          <w:color w:val="2E75B6"/>
          <w:sz w:val="26"/>
          <w:szCs w:val="26"/>
        </w:rPr>
        <w:t xml:space="preserve">5.2 Recommended Portfolio Configurations</w:t>
      </w:r>
    </w:p>
    <w:p>
      <w:pPr>
        <w:pStyle w:val="Heading3"/>
        <w:spacing w:after="120" w:before="200"/>
      </w:pPr>
      <w:r>
        <w:rPr>
          <w:rFonts w:ascii="Arial" w:cs="Arial" w:eastAsia="Arial" w:hAnsi="Arial"/>
          <w:b/>
          <w:bCs/>
          <w:color w:val="1B3A5C"/>
          <w:sz w:val="22"/>
          <w:szCs w:val="22"/>
        </w:rPr>
        <w:t xml:space="preserve">Two-Site Portfolio (Lowest Execution Risk)</w:t>
      </w:r>
    </w:p>
    <w:p>
      <w:pPr>
        <w:spacing w:after="160"/>
        <w:jc w:val="left"/>
      </w:pPr>
      <w:r>
        <w:rPr>
          <w:rFonts w:ascii="Arial" w:cs="Arial" w:eastAsia="Arial" w:hAnsi="Arial"/>
          <w:b w:val="false"/>
          <w:bCs w:val="false"/>
          <w:i w:val="false"/>
          <w:iCs w:val="false"/>
          <w:color w:val="000000"/>
          <w:sz w:val="20"/>
          <w:szCs w:val="20"/>
        </w:rPr>
        <w:t xml:space="preserve">Site A: Carolina (airport access corridor) for tourism/rental spillover plus dense commuter routes. This site captures the highest-demand corridor on the island with direct exposure to the airport rental car return ecosystem and Isla Verde tourism traffic.</w:t>
      </w:r>
    </w:p>
    <w:p>
      <w:pPr>
        <w:spacing w:after="160"/>
        <w:jc w:val="left"/>
      </w:pPr>
      <w:r>
        <w:rPr>
          <w:rFonts w:ascii="Arial" w:cs="Arial" w:eastAsia="Arial" w:hAnsi="Arial"/>
          <w:b w:val="false"/>
          <w:bCs w:val="false"/>
          <w:i w:val="false"/>
          <w:iCs w:val="false"/>
          <w:color w:val="000000"/>
          <w:sz w:val="20"/>
          <w:szCs w:val="20"/>
        </w:rPr>
        <w:t xml:space="preserve">Site B: Caguas or Bayamón/Guaynabo corridor for membership stability and local recurring revenue. This site provides a residential/commuter membership engine with lower land costs and strong repeat-visit demographics.</w:t>
      </w:r>
    </w:p>
    <w:p>
      <w:pPr>
        <w:pStyle w:val="Heading3"/>
        <w:spacing w:after="120" w:before="200"/>
      </w:pPr>
      <w:r>
        <w:rPr>
          <w:rFonts w:ascii="Arial" w:cs="Arial" w:eastAsia="Arial" w:hAnsi="Arial"/>
          <w:b/>
          <w:bCs/>
          <w:color w:val="1B3A5C"/>
          <w:sz w:val="22"/>
          <w:szCs w:val="22"/>
        </w:rPr>
        <w:t xml:space="preserve">Three-Site Portfolio (Balanced Geographic Hedge)</w:t>
      </w:r>
    </w:p>
    <w:p>
      <w:pPr>
        <w:spacing w:after="160"/>
        <w:jc w:val="left"/>
      </w:pPr>
      <w:r>
        <w:rPr>
          <w:rFonts w:ascii="Arial" w:cs="Arial" w:eastAsia="Arial" w:hAnsi="Arial"/>
          <w:b w:val="false"/>
          <w:bCs w:val="false"/>
          <w:i w:val="false"/>
          <w:iCs w:val="false"/>
          <w:color w:val="000000"/>
          <w:sz w:val="20"/>
          <w:szCs w:val="20"/>
        </w:rPr>
        <w:t xml:space="preserve">Sites A + B as above, plus Site C: Ponce (south hub) or west corridor (Mayagüez/Aguadilla) depending on land cost, sewer capacity, and competitive survey findings. A third site in a distinct geographic region provides revenue diversification and regional brand presence.</w:t>
      </w:r>
    </w:p>
    <w:p>
      <w:r>
        <w:br w:type="page"/>
      </w:r>
    </w:p>
    <w:p>
      <w:pPr>
        <w:pStyle w:val="Heading1"/>
        <w:spacing w:after="200" w:before="360"/>
      </w:pPr>
      <w:r>
        <w:rPr>
          <w:rFonts w:ascii="Arial" w:cs="Arial" w:eastAsia="Arial" w:hAnsi="Arial"/>
          <w:b/>
          <w:bCs/>
          <w:color w:val="1B3A5C"/>
          <w:sz w:val="32"/>
          <w:szCs w:val="32"/>
        </w:rPr>
        <w:t xml:space="preserve">6. Build Cost Estimation — TIPS Panel Construction</w:t>
      </w:r>
    </w:p>
    <w:p>
      <w:pPr>
        <w:pStyle w:val="Heading2"/>
        <w:spacing w:after="160" w:before="280"/>
      </w:pPr>
      <w:r>
        <w:rPr>
          <w:rFonts w:ascii="Arial" w:cs="Arial" w:eastAsia="Arial" w:hAnsi="Arial"/>
          <w:b/>
          <w:bCs/>
          <w:color w:val="2E75B6"/>
          <w:sz w:val="26"/>
          <w:szCs w:val="26"/>
        </w:rPr>
        <w:t xml:space="preserve">6.1 TIPS Panel Overview</w:t>
      </w:r>
    </w:p>
    <w:p>
      <w:pPr>
        <w:spacing w:after="160"/>
        <w:jc w:val="left"/>
      </w:pPr>
      <w:r>
        <w:rPr>
          <w:rFonts w:ascii="Arial" w:cs="Arial" w:eastAsia="Arial" w:hAnsi="Arial"/>
          <w:b w:val="false"/>
          <w:bCs w:val="false"/>
          <w:i w:val="false"/>
          <w:iCs w:val="false"/>
          <w:color w:val="000000"/>
          <w:sz w:val="20"/>
          <w:szCs w:val="20"/>
        </w:rPr>
        <w:t xml:space="preserve">The Total Integrated Panel System (TIPS) is a Structural Concrete Insulated Panel (SCIP) system consisting of an EPS (Expanded Polystyrene) foam core with welded wire mesh on both faces connected by diagonal truss wires. Shotcrete or gunite is applied over the mesh to create a reinforced concrete sandwich panel. TIPS panels are marketed as reducing rebar requirements by 50–80% and concrete quantities by 30–50% versus conventional tilt-up construction, while delivering construction timelines approximately 30% faster than traditional methods.</w:t>
      </w:r>
    </w:p>
    <w:p>
      <w:pPr>
        <w:spacing w:after="160"/>
        <w:jc w:val="left"/>
      </w:pPr>
      <w:r>
        <w:rPr>
          <w:rFonts w:ascii="Arial" w:cs="Arial" w:eastAsia="Arial" w:hAnsi="Arial"/>
          <w:b w:val="false"/>
          <w:bCs w:val="false"/>
          <w:i w:val="false"/>
          <w:iCs w:val="false"/>
          <w:color w:val="000000"/>
          <w:sz w:val="20"/>
          <w:szCs w:val="20"/>
        </w:rPr>
        <w:t xml:space="preserve">Panel-only material pricing runs approximately $7–$12 per square foot depending on R-value and configuration (excluding freight, shotcrete labor, and finishes). For Puerto Rico projects, total installed costs must add freight/logistics ($2,500–$3,500 per 40-foot container from mainland), local shotcrete labor, engineering, and finish work.</w:t>
      </w:r>
    </w:p>
    <w:p>
      <w:pPr>
        <w:pStyle w:val="Heading2"/>
        <w:spacing w:after="160" w:before="280"/>
      </w:pPr>
      <w:r>
        <w:rPr>
          <w:rFonts w:ascii="Arial" w:cs="Arial" w:eastAsia="Arial" w:hAnsi="Arial"/>
          <w:b/>
          <w:bCs/>
          <w:color w:val="2E75B6"/>
          <w:sz w:val="26"/>
          <w:szCs w:val="26"/>
        </w:rPr>
        <w:t xml:space="preserve">6.2 Itemized Build Estimate Per Location</w:t>
      </w:r>
    </w:p>
    <w:p>
      <w:pPr>
        <w:spacing w:after="160"/>
        <w:jc w:val="left"/>
      </w:pPr>
      <w:r>
        <w:rPr>
          <w:rFonts w:ascii="Arial" w:cs="Arial" w:eastAsia="Arial" w:hAnsi="Arial"/>
          <w:b w:val="false"/>
          <w:bCs w:val="false"/>
          <w:i/>
          <w:iCs/>
          <w:color w:val="666666"/>
          <w:sz w:val="20"/>
          <w:szCs w:val="20"/>
        </w:rPr>
        <w:t xml:space="preserve">These are investment underwriting ranges and must be validated with Puerto Rico contractor pricing, civil drawings, and utility letters. Base case assumes one express exterior tunnel per site with a 90–120 ft tunnel, pay stations, vacuum field, equipment room, water reclaim room, and electrical/service equipment.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1400"/>
        <w:gridCol w:w="1400"/>
        <w:gridCol w:w="2760"/>
      </w:tblGrid>
      <w:tr>
        <w:tc>
          <w:tcPr>
            <w:tcW w:type="dxa" w:w="24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Cost Category</w:t>
            </w:r>
          </w:p>
        </w:tc>
        <w:tc>
          <w:tcPr>
            <w:tcW w:type="dxa" w:w="14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Low</w:t>
            </w:r>
          </w:p>
        </w:tc>
        <w:tc>
          <w:tcPr>
            <w:tcW w:type="dxa" w:w="14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Mid</w:t>
            </w:r>
          </w:p>
        </w:tc>
        <w:tc>
          <w:tcPr>
            <w:tcW w:type="dxa" w:w="14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High</w:t>
            </w:r>
          </w:p>
        </w:tc>
        <w:tc>
          <w:tcPr>
            <w:tcW w:type="dxa" w:w="276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Notes</w:t>
            </w:r>
          </w:p>
        </w:tc>
      </w:tr>
      <w:tr>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Land Acquisition (or Lease Equivalent)</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$450,000</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$900,000</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$1,800,000</w:t>
            </w:r>
          </w:p>
        </w:tc>
        <w:tc>
          <w:tcPr>
            <w:tcW w:type="dxa" w:w="27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Strongly submarket-dependent</w:t>
            </w:r>
          </w:p>
        </w:tc>
      </w:tr>
      <w:tr>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Site Due Diligence (Survey, Geo, Phase I ESA)</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$20,000</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$45,000</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$90,000</w:t>
            </w:r>
          </w:p>
        </w:tc>
        <w:tc>
          <w:tcPr>
            <w:tcW w:type="dxa" w:w="27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Higher if wetlands/contamination</w:t>
            </w:r>
          </w:p>
        </w:tc>
      </w:tr>
      <w:tr>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Civil/Sitework (Demo, Grading, Drainage, Paving)</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$650,000</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$1,050,000</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$1,700,000</w:t>
            </w:r>
          </w:p>
        </w:tc>
        <w:tc>
          <w:tcPr>
            <w:tcW w:type="dxa" w:w="27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Stormwater controls add cost</w:t>
            </w:r>
          </w:p>
        </w:tc>
      </w:tr>
      <w:tr>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Utility Extensions (Water/Sewer, Electrical, Telecom)</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$250,000</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$500,000</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$1,100,000</w:t>
            </w:r>
          </w:p>
        </w:tc>
        <w:tc>
          <w:tcPr>
            <w:tcW w:type="dxa" w:w="27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Offsite upgrades can dominate</w:t>
            </w:r>
          </w:p>
        </w:tc>
      </w:tr>
      <w:tr>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TIPS Panel Envelope (Materials + Accessories)</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$60,000</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$110,000</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$220,000</w:t>
            </w:r>
          </w:p>
        </w:tc>
        <w:tc>
          <w:tcPr>
            <w:tcW w:type="dxa" w:w="27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Published per-sf pricing + adders</w:t>
            </w:r>
          </w:p>
        </w:tc>
      </w:tr>
      <w:tr>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Installed TIPS Envelope (Shotcrete + Labor)</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$180,000</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$320,000</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$520,000</w:t>
            </w:r>
          </w:p>
        </w:tc>
        <w:tc>
          <w:tcPr>
            <w:tcW w:type="dxa" w:w="27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Wall area, panel design dependent</w:t>
            </w:r>
          </w:p>
        </w:tc>
      </w:tr>
      <w:tr>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Tunnel Structure / Canopies / Steel</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$280,000</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$450,000</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$750,000</w:t>
            </w:r>
          </w:p>
        </w:tc>
        <w:tc>
          <w:tcPr>
            <w:tcW w:type="dxa" w:w="27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Hurricane wind detailing</w:t>
            </w:r>
          </w:p>
        </w:tc>
      </w:tr>
      <w:tr>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Car Wash Equipment Package</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$1,100,000</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$1,650,000</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$2,500,000</w:t>
            </w:r>
          </w:p>
        </w:tc>
        <w:tc>
          <w:tcPr>
            <w:tcW w:type="dxa" w:w="27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Conveyor, arches, dryers, controls</w:t>
            </w:r>
          </w:p>
        </w:tc>
      </w:tr>
      <w:tr>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Pay Stations + POS + LPR/CRM Stack</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$85,000</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$140,000</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$250,000</w:t>
            </w:r>
          </w:p>
        </w:tc>
        <w:tc>
          <w:tcPr>
            <w:tcW w:type="dxa" w:w="27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Membership revenue engine</w:t>
            </w:r>
          </w:p>
        </w:tc>
      </w:tr>
      <w:tr>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Water Reclaim / Recycling + Oil-Water Sep.</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$120,000</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$210,000</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$360,000</w:t>
            </w:r>
          </w:p>
        </w:tc>
        <w:tc>
          <w:tcPr>
            <w:tcW w:type="dxa" w:w="27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~50% fresh-water reduction</w:t>
            </w:r>
          </w:p>
        </w:tc>
      </w:tr>
      <w:tr>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Electrical &amp; Lighting (Panels, VFDs, Site)</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$220,000</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$380,000</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$650,000</w:t>
            </w:r>
          </w:p>
        </w:tc>
        <w:tc>
          <w:tcPr>
            <w:tcW w:type="dxa" w:w="27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High kWh incentivizes efficiency</w:t>
            </w:r>
          </w:p>
        </w:tc>
      </w:tr>
      <w:tr>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Plumbing (High-Pressure, Storage, Backflow)</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$180,000</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$320,000</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$520,000</w:t>
            </w:r>
          </w:p>
        </w:tc>
        <w:tc>
          <w:tcPr>
            <w:tcW w:type="dxa" w:w="27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Includes reclaim integration</w:t>
            </w:r>
          </w:p>
        </w:tc>
      </w:tr>
      <w:tr>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Signage, Landscaping, Hardscape Branding</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$50,000</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$120,000</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$250,000</w:t>
            </w:r>
          </w:p>
        </w:tc>
        <w:tc>
          <w:tcPr>
            <w:tcW w:type="dxa" w:w="27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Local sign codes vary</w:t>
            </w:r>
          </w:p>
        </w:tc>
      </w:tr>
      <w:tr>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Permits, Professional Fees (A/E, Legal)</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$160,000</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$320,000</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$600,000</w:t>
            </w:r>
          </w:p>
        </w:tc>
        <w:tc>
          <w:tcPr>
            <w:tcW w:type="dxa" w:w="27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OGPe Permiso Único coordination</w:t>
            </w:r>
          </w:p>
        </w:tc>
      </w:tr>
      <w:tr>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Contingency</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$250,000</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$450,000</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$850,000</w:t>
            </w:r>
          </w:p>
        </w:tc>
        <w:tc>
          <w:tcPr>
            <w:tcW w:type="dxa" w:w="27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Higher for utility-uncertain sites</w:t>
            </w:r>
          </w:p>
        </w:tc>
      </w:tr>
      <w:tr>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Working Capital Reserve</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$125,000</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$200,000</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$350,000</w:t>
            </w:r>
          </w:p>
        </w:tc>
        <w:tc>
          <w:tcPr>
            <w:tcW w:type="dxa" w:w="27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Membership ramp, chemicals, repairs</w:t>
            </w:r>
          </w:p>
        </w:tc>
      </w:tr>
      <w:tr>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TOTAL PER LOCATION</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$3,900,000</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$7,100,000</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$12,300,000</w:t>
            </w:r>
          </w:p>
        </w:tc>
        <w:tc>
          <w:tcPr>
            <w:tcW w:type="dxa" w:w="27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Range reflects land + utility uncertainty</w:t>
            </w:r>
          </w:p>
        </w:tc>
      </w:tr>
    </w:tbl>
    <w:p>
      <w:pPr>
        <w:spacing w:after="120"/>
      </w:pPr>
    </w:p>
    <w:p>
      <w:pPr>
        <w:pStyle w:val="Heading2"/>
        <w:spacing w:after="160" w:before="280"/>
      </w:pPr>
      <w:r>
        <w:rPr>
          <w:rFonts w:ascii="Arial" w:cs="Arial" w:eastAsia="Arial" w:hAnsi="Arial"/>
          <w:b/>
          <w:bCs/>
          <w:color w:val="2E75B6"/>
          <w:sz w:val="26"/>
          <w:szCs w:val="26"/>
        </w:rPr>
        <w:t xml:space="preserve">6.3 TIPS Panel Cost Savings vs. Traditional Construction</w:t>
      </w:r>
    </w:p>
    <w:p>
      <w:pPr>
        <w:spacing w:after="160"/>
        <w:jc w:val="left"/>
      </w:pPr>
      <w:r>
        <w:rPr>
          <w:rFonts w:ascii="Arial" w:cs="Arial" w:eastAsia="Arial" w:hAnsi="Arial"/>
          <w:b w:val="false"/>
          <w:bCs w:val="false"/>
          <w:i w:val="false"/>
          <w:iCs w:val="false"/>
          <w:color w:val="000000"/>
          <w:sz w:val="20"/>
          <w:szCs w:val="20"/>
        </w:rPr>
        <w:t xml:space="preserve">Self-performance with TIPS Panel creates measurable savings in three areas:</w:t>
      </w:r>
    </w:p>
    <w:p>
      <w:pPr>
        <w:spacing w:after="160"/>
        <w:jc w:val="left"/>
      </w:pPr>
      <w:r>
        <w:rPr>
          <w:rFonts w:ascii="Arial" w:cs="Arial" w:eastAsia="Arial" w:hAnsi="Arial"/>
          <w:b w:val="false"/>
          <w:bCs w:val="false"/>
          <w:i w:val="false"/>
          <w:iCs w:val="false"/>
          <w:color w:val="000000"/>
          <w:sz w:val="20"/>
          <w:szCs w:val="20"/>
        </w:rPr>
        <w:t xml:space="preserve">Schedule compression: Owner-controlled sequencing with fewer subcontract handoffs converts time into money via earlier revenue generation. TIPS construction is approximately 30% faster than conventional tilt-up methods, with shotcrete application proceeding 3–5 times faster than traditional masonry.</w:t>
      </w:r>
    </w:p>
    <w:p>
      <w:pPr>
        <w:spacing w:after="160"/>
        <w:jc w:val="left"/>
      </w:pPr>
      <w:r>
        <w:rPr>
          <w:rFonts w:ascii="Arial" w:cs="Arial" w:eastAsia="Arial" w:hAnsi="Arial"/>
          <w:b w:val="false"/>
          <w:bCs w:val="false"/>
          <w:i w:val="false"/>
          <w:iCs w:val="false"/>
          <w:color w:val="000000"/>
          <w:sz w:val="20"/>
          <w:szCs w:val="20"/>
        </w:rPr>
        <w:t xml:space="preserve">Material reduction: TIPS panels use 50–80% less rebar and 30–50% less concrete than conventional tilt-up alternatives, reducing both material costs and structural weight. Lighter panels also reduce foundation requirements.</w:t>
      </w:r>
    </w:p>
    <w:p>
      <w:pPr>
        <w:spacing w:after="160"/>
        <w:jc w:val="left"/>
      </w:pPr>
      <w:r>
        <w:rPr>
          <w:rFonts w:ascii="Arial" w:cs="Arial" w:eastAsia="Arial" w:hAnsi="Arial"/>
          <w:b w:val="false"/>
          <w:bCs w:val="false"/>
          <w:i w:val="false"/>
          <w:iCs w:val="false"/>
          <w:color w:val="000000"/>
          <w:sz w:val="20"/>
          <w:szCs w:val="20"/>
        </w:rPr>
        <w:t xml:space="preserve">Labor efficiency: The panelized/industrialized construction approach reduces framing labor requirements versus stick-built or block construction. For a typical car wash operations building envelope (1,500–3,000 sq ft of wall area), the installed TIPS envelope cost of $180K–$520K compares favorably to conventional concrete block (CMU) construction at $25–$40 per square foot when factoring in schedule savings and reduced reinforcement.</w:t>
      </w:r>
    </w:p>
    <w:p>
      <w:pPr>
        <w:spacing w:after="160"/>
        <w:jc w:val="left"/>
      </w:pPr>
      <w:r>
        <w:rPr>
          <w:rFonts w:ascii="Arial" w:cs="Arial" w:eastAsia="Arial" w:hAnsi="Arial"/>
          <w:b w:val="false"/>
          <w:bCs w:val="false"/>
          <w:i/>
          <w:iCs/>
          <w:color w:val="666666"/>
          <w:sz w:val="20"/>
          <w:szCs w:val="20"/>
        </w:rPr>
        <w:t xml:space="preserve">Practical caveat: Published TIPS pricing is FOB Utah and excludes shipping. Puerto Rico logistics (ocean freight + last-mile delivery) and local shotcrete labor availability must be validated. Total TIPS-related island premium estimated at 20–30% above mainland installed costs.</w:t>
      </w:r>
    </w:p>
    <w:p>
      <w:r>
        <w:br w:type="page"/>
      </w:r>
    </w:p>
    <w:p>
      <w:pPr>
        <w:pStyle w:val="Heading1"/>
        <w:spacing w:after="200" w:before="360"/>
      </w:pPr>
      <w:r>
        <w:rPr>
          <w:rFonts w:ascii="Arial" w:cs="Arial" w:eastAsia="Arial" w:hAnsi="Arial"/>
          <w:b/>
          <w:bCs/>
          <w:color w:val="1B3A5C"/>
          <w:sz w:val="32"/>
          <w:szCs w:val="32"/>
        </w:rPr>
        <w:t xml:space="preserve">7. Tax Strategy — PR Incentives &amp; Federal Bonus Depreciation</w:t>
      </w:r>
    </w:p>
    <w:p>
      <w:pPr>
        <w:pStyle w:val="Heading2"/>
        <w:spacing w:after="160" w:before="280"/>
      </w:pPr>
      <w:r>
        <w:rPr>
          <w:rFonts w:ascii="Arial" w:cs="Arial" w:eastAsia="Arial" w:hAnsi="Arial"/>
          <w:b/>
          <w:bCs/>
          <w:color w:val="2E75B6"/>
          <w:sz w:val="26"/>
          <w:szCs w:val="26"/>
        </w:rPr>
        <w:t xml:space="preserve">7.1 Puerto Rico Incentives Reality Check</w:t>
      </w:r>
    </w:p>
    <w:p>
      <w:pPr>
        <w:spacing w:after="160"/>
        <w:jc w:val="left"/>
      </w:pPr>
      <w:r>
        <w:rPr>
          <w:rFonts w:ascii="Arial" w:cs="Arial" w:eastAsia="Arial" w:hAnsi="Arial"/>
          <w:b w:val="false"/>
          <w:bCs w:val="false"/>
          <w:i w:val="false"/>
          <w:iCs w:val="false"/>
          <w:color w:val="000000"/>
          <w:sz w:val="20"/>
          <w:szCs w:val="20"/>
        </w:rPr>
        <w:t xml:space="preserve">Puerto Rico’s incentives framework is consolidated under Act 60-2019 (Puerto Rico Incentives Code), which reorganized earlier programs including Acts 20 and 22. However, Act 60 incentives are activity- and sector-specific. A standard local-service car wash operation does not automatically qualify under the most commonly marketed provisions.</w:t>
      </w:r>
    </w:p>
    <w:p>
      <w:pPr>
        <w:spacing w:after="160"/>
        <w:jc w:val="left"/>
      </w:pPr>
      <w:r>
        <w:rPr>
          <w:rFonts w:ascii="Arial" w:cs="Arial" w:eastAsia="Arial" w:hAnsi="Arial"/>
          <w:b w:val="false"/>
          <w:bCs w:val="false"/>
          <w:i w:val="false"/>
          <w:iCs w:val="false"/>
          <w:color w:val="000000"/>
          <w:sz w:val="20"/>
          <w:szCs w:val="20"/>
        </w:rPr>
        <w:t xml:space="preserve">Act 60 was extended through 2055 by Act 38-2026 (March 2026), with a pivotal change: applicants filing on or after January 1, 2027 receive a 4% preferential rate on capital gains, dividends, and interest (previously 0%).</w:t>
      </w:r>
    </w:p>
    <w:p>
      <w:pPr>
        <w:pStyle w:val="Heading3"/>
        <w:spacing w:after="120" w:before="200"/>
      </w:pPr>
      <w:r>
        <w:rPr>
          <w:rFonts w:ascii="Arial" w:cs="Arial" w:eastAsia="Arial" w:hAnsi="Arial"/>
          <w:b/>
          <w:bCs/>
          <w:color w:val="1B3A5C"/>
          <w:sz w:val="22"/>
          <w:szCs w:val="22"/>
        </w:rPr>
        <w:t xml:space="preserve">Most Viable Incentive Pathway: Act 60 Chapter 7 (Green Energy)</w:t>
      </w:r>
    </w:p>
    <w:p>
      <w:pPr>
        <w:spacing w:after="160"/>
        <w:jc w:val="left"/>
      </w:pPr>
      <w:r>
        <w:rPr>
          <w:rFonts w:ascii="Arial" w:cs="Arial" w:eastAsia="Arial" w:hAnsi="Arial"/>
          <w:b w:val="false"/>
          <w:bCs w:val="false"/>
          <w:i w:val="false"/>
          <w:iCs w:val="false"/>
          <w:color w:val="000000"/>
          <w:sz w:val="20"/>
          <w:szCs w:val="20"/>
        </w:rPr>
        <w:t xml:space="preserve">If the car wash project incorporates qualifying renewable energy systems (solar PV, battery storage), it may qualify for Act 60 Chapter 7 benefits: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1800"/>
        <w:gridCol w:w="3560"/>
      </w:tblGrid>
      <w:tr>
        <w:tc>
          <w:tcPr>
            <w:tcW w:type="dxa" w:w="22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Benefit</w:t>
            </w:r>
          </w:p>
        </w:tc>
        <w:tc>
          <w:tcPr>
            <w:tcW w:type="dxa" w:w="18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Without Act 60</w:t>
            </w:r>
          </w:p>
        </w:tc>
        <w:tc>
          <w:tcPr>
            <w:tcW w:type="dxa" w:w="18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With Act 60 Ch.7</w:t>
            </w:r>
          </w:p>
        </w:tc>
        <w:tc>
          <w:tcPr>
            <w:tcW w:type="dxa" w:w="356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Notes</w:t>
            </w:r>
          </w:p>
        </w:tc>
      </w:tr>
      <w:tr>
        <w:tc>
          <w:tcPr>
            <w:tcW w:type="dxa" w:w="2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Corporate Income Tax</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Standard ~20–21%</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w:t>
            </w:r>
          </w:p>
        </w:tc>
        <w:tc>
          <w:tcPr>
            <w:tcW w:type="dxa" w:w="35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On net industrial development income</w:t>
            </w:r>
          </w:p>
        </w:tc>
      </w:tr>
      <w:tr>
        <w:tc>
          <w:tcPr>
            <w:tcW w:type="dxa" w:w="2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Capital Gains Tax</w:t>
            </w:r>
          </w:p>
        </w:tc>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Standard rates</w:t>
            </w:r>
          </w:p>
        </w:tc>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w:t>
            </w:r>
          </w:p>
        </w:tc>
        <w:tc>
          <w:tcPr>
            <w:tcW w:type="dxa" w:w="35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On sale of business/assets during term</w:t>
            </w:r>
          </w:p>
        </w:tc>
      </w:tr>
      <w:tr>
        <w:tc>
          <w:tcPr>
            <w:tcW w:type="dxa" w:w="2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Property Tax</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Standard rates</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75% Exemption</w:t>
            </w:r>
          </w:p>
        </w:tc>
        <w:tc>
          <w:tcPr>
            <w:tcW w:type="dxa" w:w="35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On real and personal property</w:t>
            </w:r>
          </w:p>
        </w:tc>
      </w:tr>
      <w:tr>
        <w:tc>
          <w:tcPr>
            <w:tcW w:type="dxa" w:w="2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Municipal License Tax</w:t>
            </w:r>
          </w:p>
        </w:tc>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0.5% of gross</w:t>
            </w:r>
          </w:p>
        </w:tc>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50% Exemption</w:t>
            </w:r>
          </w:p>
        </w:tc>
        <w:tc>
          <w:tcPr>
            <w:tcW w:type="dxa" w:w="35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Reduces patente municipal</w:t>
            </w:r>
          </w:p>
        </w:tc>
      </w:tr>
      <w:tr>
        <w:tc>
          <w:tcPr>
            <w:tcW w:type="dxa" w:w="2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Sales Tax on Equipment</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~10.5%</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100% Exemption</w:t>
            </w:r>
          </w:p>
        </w:tc>
        <w:tc>
          <w:tcPr>
            <w:tcW w:type="dxa" w:w="35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Solar panels, batteries, inverters</w:t>
            </w:r>
          </w:p>
        </w:tc>
      </w:tr>
      <w:tr>
        <w:tc>
          <w:tcPr>
            <w:tcW w:type="dxa" w:w="2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Exemption Duration</w:t>
            </w:r>
          </w:p>
        </w:tc>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w:t>
            </w:r>
          </w:p>
        </w:tc>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15 years</w:t>
            </w:r>
          </w:p>
        </w:tc>
        <w:tc>
          <w:tcPr>
            <w:tcW w:type="dxa" w:w="35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Extendable 15 more years</w:t>
            </w:r>
          </w:p>
        </w:tc>
      </w:tr>
    </w:tbl>
    <w:p>
      <w:pPr>
        <w:spacing w:after="120"/>
      </w:pPr>
    </w:p>
    <w:p>
      <w:pPr>
        <w:pStyle w:val="Heading3"/>
        <w:spacing w:after="120" w:before="200"/>
      </w:pPr>
      <w:r>
        <w:rPr>
          <w:rFonts w:ascii="Arial" w:cs="Arial" w:eastAsia="Arial" w:hAnsi="Arial"/>
          <w:b/>
          <w:bCs/>
          <w:color w:val="1B3A5C"/>
          <w:sz w:val="22"/>
          <w:szCs w:val="22"/>
        </w:rPr>
        <w:t xml:space="preserve">Other Incentive Pathways Assessed</w:t>
      </w:r>
    </w:p>
    <w:p>
      <w:pPr>
        <w:spacing w:after="160"/>
        <w:jc w:val="left"/>
      </w:pPr>
      <w:r>
        <w:rPr>
          <w:rFonts w:ascii="Arial" w:cs="Arial" w:eastAsia="Arial" w:hAnsi="Arial"/>
          <w:b w:val="false"/>
          <w:bCs w:val="false"/>
          <w:i w:val="false"/>
          <w:iCs w:val="false"/>
          <w:color w:val="000000"/>
          <w:sz w:val="20"/>
          <w:szCs w:val="20"/>
        </w:rPr>
        <w:t xml:space="preserve">Chapter 3 (Export Services): Not viable. Car wash services are domestically-focused, location-dependent services that do not qualify. Services must be rendered to foreign persons located outside Puerto Rico with minimum 80% of gross income from export services.</w:t>
      </w:r>
    </w:p>
    <w:p>
      <w:pPr>
        <w:spacing w:after="160"/>
        <w:jc w:val="left"/>
      </w:pPr>
      <w:r>
        <w:rPr>
          <w:rFonts w:ascii="Arial" w:cs="Arial" w:eastAsia="Arial" w:hAnsi="Arial"/>
          <w:b w:val="false"/>
          <w:bCs w:val="false"/>
          <w:i w:val="false"/>
          <w:iCs w:val="false"/>
          <w:color w:val="000000"/>
          <w:sz w:val="20"/>
          <w:szCs w:val="20"/>
        </w:rPr>
        <w:t xml:space="preserve">Chapter 5 (Visitor Economy): Unlikely without explicit DDEC approval. A car wash itself is not a recognized tourism activity, though rental car fleet washing at airport/tourism hubs could be explored as a niche argument.</w:t>
      </w:r>
    </w:p>
    <w:p>
      <w:pPr>
        <w:spacing w:after="160"/>
        <w:jc w:val="left"/>
      </w:pPr>
      <w:r>
        <w:rPr>
          <w:rFonts w:ascii="Arial" w:cs="Arial" w:eastAsia="Arial" w:hAnsi="Arial"/>
          <w:b w:val="false"/>
          <w:bCs w:val="false"/>
          <w:i w:val="false"/>
          <w:iCs w:val="false"/>
          <w:color w:val="000000"/>
          <w:sz w:val="20"/>
          <w:szCs w:val="20"/>
        </w:rPr>
        <w:t xml:space="preserve">Opportunity Zones: As of 2026, approximately 98% of Puerto Rico is designated as a Qualified Opportunity Zone through December 31, 2026. After 2026, coverage drops to approximately 25% of the island. If investment is structured through a Qualified Opportunity Fund before year-end 2026, federal capital gains deferral and potential 0% tax on QOZ investment gains (10+ year hold) can stack with Act 60 benefits.</w:t>
      </w:r>
    </w:p>
    <w:p>
      <w:pPr>
        <w:pStyle w:val="Heading2"/>
        <w:spacing w:after="160" w:before="280"/>
      </w:pPr>
      <w:r>
        <w:rPr>
          <w:rFonts w:ascii="Arial" w:cs="Arial" w:eastAsia="Arial" w:hAnsi="Arial"/>
          <w:b/>
          <w:bCs/>
          <w:color w:val="2E75B6"/>
          <w:sz w:val="26"/>
          <w:szCs w:val="26"/>
        </w:rPr>
        <w:t xml:space="preserve">7.2 Federal Bonus Depreciation Under the One Big Beautiful Bill Act</w:t>
      </w:r>
    </w:p>
    <w:p>
      <w:pPr>
        <w:spacing w:after="160"/>
        <w:jc w:val="left"/>
      </w:pPr>
      <w:r>
        <w:rPr>
          <w:rFonts w:ascii="Arial" w:cs="Arial" w:eastAsia="Arial" w:hAnsi="Arial"/>
          <w:b w:val="false"/>
          <w:bCs w:val="false"/>
          <w:i w:val="false"/>
          <w:iCs w:val="false"/>
          <w:color w:val="000000"/>
          <w:sz w:val="20"/>
          <w:szCs w:val="20"/>
        </w:rPr>
        <w:t xml:space="preserve">The One Big Beautiful Bill Act (OBBBA, Public Law 119-21) was signed into law on July 4, 2025, permanently restoring 100% bonus depreciation for qualifying property acquired and placed in service after January 19, 2025. This reverses the TCJA phase-down schedule and applies indefinitely.</w:t>
      </w:r>
    </w:p>
    <w:p>
      <w:pPr>
        <w:pStyle w:val="Heading3"/>
        <w:spacing w:after="120" w:before="200"/>
      </w:pPr>
      <w:r>
        <w:rPr>
          <w:rFonts w:ascii="Arial" w:cs="Arial" w:eastAsia="Arial" w:hAnsi="Arial"/>
          <w:b/>
          <w:bCs/>
          <w:color w:val="1B3A5C"/>
          <w:sz w:val="22"/>
          <w:szCs w:val="22"/>
        </w:rPr>
        <w:t xml:space="preserve">Asset Eligibility for Car Wash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400"/>
        <w:gridCol w:w="1600"/>
        <w:gridCol w:w="3560"/>
      </w:tblGrid>
      <w:tr>
        <w:tc>
          <w:tcPr>
            <w:tcW w:type="dxa" w:w="28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Asset Category</w:t>
            </w:r>
          </w:p>
        </w:tc>
        <w:tc>
          <w:tcPr>
            <w:tcW w:type="dxa" w:w="14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MACRS Life</w:t>
            </w:r>
          </w:p>
        </w:tc>
        <w:tc>
          <w:tcPr>
            <w:tcW w:type="dxa" w:w="16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Bonus Depreciation</w:t>
            </w:r>
          </w:p>
        </w:tc>
        <w:tc>
          <w:tcPr>
            <w:tcW w:type="dxa" w:w="356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Eligibility Notes</w:t>
            </w:r>
          </w:p>
        </w:tc>
      </w:tr>
      <w:tr>
        <w:tc>
          <w:tcPr>
            <w:tcW w:type="dxa" w:w="2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Car Wash Equipment (Tunnel, Conveyor, Pumps, Blowers)</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5–7 years</w:t>
            </w:r>
          </w:p>
        </w:tc>
        <w:tc>
          <w:tcPr>
            <w:tcW w:type="dxa" w:w="16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100% Year 1</w:t>
            </w:r>
          </w:p>
        </w:tc>
        <w:tc>
          <w:tcPr>
            <w:tcW w:type="dxa" w:w="35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High — MACRS personal property</w:t>
            </w:r>
          </w:p>
        </w:tc>
      </w:tr>
      <w:tr>
        <w:tc>
          <w:tcPr>
            <w:tcW w:type="dxa" w:w="2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POS / Pay Stations / LPR / IT Systems</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5 years</w:t>
            </w:r>
          </w:p>
        </w:tc>
        <w:tc>
          <w:tcPr>
            <w:tcW w:type="dxa" w:w="16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100% Year 1</w:t>
            </w:r>
          </w:p>
        </w:tc>
        <w:tc>
          <w:tcPr>
            <w:tcW w:type="dxa" w:w="35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High — software/hardware eligible</w:t>
            </w:r>
          </w:p>
        </w:tc>
      </w:tr>
      <w:tr>
        <w:tc>
          <w:tcPr>
            <w:tcW w:type="dxa" w:w="2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Water Reclaim Systems</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5–15 years</w:t>
            </w:r>
          </w:p>
        </w:tc>
        <w:tc>
          <w:tcPr>
            <w:tcW w:type="dxa" w:w="16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100% Year 1</w:t>
            </w:r>
          </w:p>
        </w:tc>
        <w:tc>
          <w:tcPr>
            <w:tcW w:type="dxa" w:w="35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High — needs tax engineering classification</w:t>
            </w:r>
          </w:p>
        </w:tc>
      </w:tr>
      <w:tr>
        <w:tc>
          <w:tcPr>
            <w:tcW w:type="dxa" w:w="2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Site Improvements (Paving, Signage, Exterior Electrical)</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15 years</w:t>
            </w:r>
          </w:p>
        </w:tc>
        <w:tc>
          <w:tcPr>
            <w:tcW w:type="dxa" w:w="16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100% Year 1</w:t>
            </w:r>
          </w:p>
        </w:tc>
        <w:tc>
          <w:tcPr>
            <w:tcW w:type="dxa" w:w="35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High — qualified improvement property</w:t>
            </w:r>
          </w:p>
        </w:tc>
      </w:tr>
      <w:tr>
        <w:tc>
          <w:tcPr>
            <w:tcW w:type="dxa" w:w="2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Building Shell (Structural Walls, Roof, Core)</w:t>
            </w:r>
          </w:p>
        </w:tc>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39 years</w:t>
            </w:r>
          </w:p>
        </w:tc>
        <w:tc>
          <w:tcPr>
            <w:tcW w:type="dxa" w:w="16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Not eligible</w:t>
            </w:r>
          </w:p>
        </w:tc>
        <w:tc>
          <w:tcPr>
            <w:tcW w:type="dxa" w:w="35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Cost segregation may reclassify 65–100%</w:t>
            </w:r>
          </w:p>
        </w:tc>
      </w:tr>
      <w:tr>
        <w:tc>
          <w:tcPr>
            <w:tcW w:type="dxa" w:w="2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Land</w:t>
            </w:r>
          </w:p>
        </w:tc>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Non-depreciable</w:t>
            </w:r>
          </w:p>
        </w:tc>
        <w:tc>
          <w:tcPr>
            <w:tcW w:type="dxa" w:w="16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Never eligible</w:t>
            </w:r>
          </w:p>
        </w:tc>
        <w:tc>
          <w:tcPr>
            <w:tcW w:type="dxa" w:w="35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Excluded from depreciable basis</w:t>
            </w:r>
          </w:p>
        </w:tc>
      </w:tr>
    </w:tbl>
    <w:p>
      <w:pPr>
        <w:spacing w:after="120"/>
      </w:pPr>
    </w:p>
    <w:p>
      <w:pPr>
        <w:pStyle w:val="Heading3"/>
        <w:spacing w:after="120" w:before="200"/>
      </w:pPr>
      <w:r>
        <w:rPr>
          <w:rFonts w:ascii="Arial" w:cs="Arial" w:eastAsia="Arial" w:hAnsi="Arial"/>
          <w:b/>
          <w:bCs/>
          <w:color w:val="1B3A5C"/>
          <w:sz w:val="22"/>
          <w:szCs w:val="22"/>
        </w:rPr>
        <w:t xml:space="preserve">Cost Segregation — The Key Multiplier</w:t>
      </w:r>
    </w:p>
    <w:p>
      <w:pPr>
        <w:spacing w:after="160"/>
        <w:jc w:val="left"/>
      </w:pPr>
      <w:r>
        <w:rPr>
          <w:rFonts w:ascii="Arial" w:cs="Arial" w:eastAsia="Arial" w:hAnsi="Arial"/>
          <w:b w:val="false"/>
          <w:bCs w:val="false"/>
          <w:i w:val="false"/>
          <w:iCs w:val="false"/>
          <w:color w:val="000000"/>
          <w:sz w:val="20"/>
          <w:szCs w:val="20"/>
        </w:rPr>
        <w:t xml:space="preserve">Car wash facilities are among the most favorable property types for cost segregation studies because the cost base is dominated by equipment and improvements rather than structural building components. Typical reclassification rates for car washes range from 65% to 100% of depreciable basis, compared to 20–30% for standard commercial buildings. Combined with 100% bonus depreciation, this means 65–100% of the total depreciable investment becomes fully deductible in Year 1.</w:t>
      </w:r>
    </w:p>
    <w:p>
      <w:pPr>
        <w:pStyle w:val="Heading2"/>
        <w:spacing w:after="160" w:before="280"/>
      </w:pPr>
      <w:r>
        <w:rPr>
          <w:rFonts w:ascii="Arial" w:cs="Arial" w:eastAsia="Arial" w:hAnsi="Arial"/>
          <w:b/>
          <w:bCs/>
          <w:color w:val="2E75B6"/>
          <w:sz w:val="26"/>
          <w:szCs w:val="26"/>
        </w:rPr>
        <w:t xml:space="preserve">7.3 Tax Shield Model — 2–3 Locations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00"/>
        <w:gridCol w:w="2000"/>
        <w:gridCol w:w="2160"/>
      </w:tblGrid>
      <w:tr>
        <w:tc>
          <w:tcPr>
            <w:tcW w:type="dxa" w:w="32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Tax Shield Analysis</w:t>
            </w:r>
          </w:p>
        </w:tc>
        <w:tc>
          <w:tcPr>
            <w:tcW w:type="dxa" w:w="20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1 Site</w:t>
            </w:r>
          </w:p>
        </w:tc>
        <w:tc>
          <w:tcPr>
            <w:tcW w:type="dxa" w:w="20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2 Sites</w:t>
            </w:r>
          </w:p>
        </w:tc>
        <w:tc>
          <w:tcPr>
            <w:tcW w:type="dxa" w:w="216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3 Sites</w:t>
            </w:r>
          </w:p>
        </w:tc>
      </w:tr>
      <w:tr>
        <w:tc>
          <w:tcPr>
            <w:tcW w:type="dxa" w:w="3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Total Project Cost (mid-case)</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$4,250,000</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$8,500,000</w:t>
            </w:r>
          </w:p>
        </w:tc>
        <w:tc>
          <w:tcPr>
            <w:tcW w:type="dxa" w:w="2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$12,750,000</w:t>
            </w:r>
          </w:p>
        </w:tc>
      </w:tr>
      <w:tr>
        <w:tc>
          <w:tcPr>
            <w:tcW w:type="dxa" w:w="3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Less: Land (non-depreciable)</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($500,000)</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($1,000,000)</w:t>
            </w:r>
          </w:p>
        </w:tc>
        <w:tc>
          <w:tcPr>
            <w:tcW w:type="dxa" w:w="2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($1,500,000)</w:t>
            </w:r>
          </w:p>
        </w:tc>
      </w:tr>
      <w:tr>
        <w:tc>
          <w:tcPr>
            <w:tcW w:type="dxa" w:w="3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Depreciable Basis</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$3,750,000</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$7,500,000</w:t>
            </w:r>
          </w:p>
        </w:tc>
        <w:tc>
          <w:tcPr>
            <w:tcW w:type="dxa" w:w="2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$11,250,000</w:t>
            </w:r>
          </w:p>
        </w:tc>
      </w:tr>
      <w:tr>
        <w:tc>
          <w:tcPr>
            <w:tcW w:type="dxa" w:w="3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Cost Seg Reclassified to 5–15 yr (75%)</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$2,813,000</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$5,625,000</w:t>
            </w:r>
          </w:p>
        </w:tc>
        <w:tc>
          <w:tcPr>
            <w:tcW w:type="dxa" w:w="2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$8,438,000</w:t>
            </w:r>
          </w:p>
        </w:tc>
      </w:tr>
      <w:tr>
        <w:tc>
          <w:tcPr>
            <w:tcW w:type="dxa" w:w="3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Year 1 Bonus Depreciation (100%)</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$2,813,000</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$5,625,000</w:t>
            </w:r>
          </w:p>
        </w:tc>
        <w:tc>
          <w:tcPr>
            <w:tcW w:type="dxa" w:w="2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$8,438,000</w:t>
            </w:r>
          </w:p>
        </w:tc>
      </w:tr>
      <w:tr>
        <w:tc>
          <w:tcPr>
            <w:tcW w:type="dxa" w:w="3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Remaining 39-yr Basis (25%)</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$937,000</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$1,875,000</w:t>
            </w:r>
          </w:p>
        </w:tc>
        <w:tc>
          <w:tcPr>
            <w:tcW w:type="dxa" w:w="2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$2,812,000</w:t>
            </w:r>
          </w:p>
        </w:tc>
      </w:tr>
      <w:tr>
        <w:tc>
          <w:tcPr>
            <w:tcW w:type="dxa" w:w="3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Tax Shield @ 21% Federal Corporate</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$591,000</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$1,181,000</w:t>
            </w:r>
          </w:p>
        </w:tc>
        <w:tc>
          <w:tcPr>
            <w:tcW w:type="dxa" w:w="2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$1,772,000</w:t>
            </w:r>
          </w:p>
        </w:tc>
      </w:tr>
      <w:tr>
        <w:tc>
          <w:tcPr>
            <w:tcW w:type="dxa" w:w="3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Tax Shield @ 37% Individual Top Rate</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$1,041,000</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$2,081,000</w:t>
            </w:r>
          </w:p>
        </w:tc>
        <w:tc>
          <w:tcPr>
            <w:tcW w:type="dxa" w:w="2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$3,122,000</w:t>
            </w:r>
          </w:p>
        </w:tc>
      </w:tr>
    </w:tbl>
    <w:p>
      <w:pPr>
        <w:spacing w:after="120"/>
      </w:pPr>
    </w:p>
    <w:p>
      <w:pPr>
        <w:spacing w:after="160"/>
        <w:jc w:val="left"/>
      </w:pPr>
      <w:r>
        <w:rPr>
          <w:rFonts w:ascii="Arial" w:cs="Arial" w:eastAsia="Arial" w:hAnsi="Arial"/>
          <w:b w:val="false"/>
          <w:bCs w:val="false"/>
          <w:i/>
          <w:iCs/>
          <w:color w:val="666666"/>
          <w:sz w:val="20"/>
          <w:szCs w:val="20"/>
        </w:rPr>
        <w:t xml:space="preserve">Important: Tax shield usability depends on investor structure. Passive activity loss rules limit deductions to passive income for non-material participants (with a $25,000 exception for individuals phasing out above $100K MAGI). At-risk rules limit deductions to the investor’s at-risk basis. These limitations can suspend deductions to future periods or disposition events. All figures require CPA validation under final investment structure.</w:t>
      </w:r>
    </w:p>
    <w:p>
      <w:r>
        <w:br w:type="page"/>
      </w:r>
    </w:p>
    <w:p>
      <w:pPr>
        <w:pStyle w:val="Heading1"/>
        <w:spacing w:after="200" w:before="360"/>
      </w:pPr>
      <w:r>
        <w:rPr>
          <w:rFonts w:ascii="Arial" w:cs="Arial" w:eastAsia="Arial" w:hAnsi="Arial"/>
          <w:b/>
          <w:bCs/>
          <w:color w:val="1B3A5C"/>
          <w:sz w:val="32"/>
          <w:szCs w:val="32"/>
        </w:rPr>
        <w:t xml:space="preserve">8. Financial Projections — ROI, ARR &amp; Payback Period</w:t>
      </w:r>
    </w:p>
    <w:p>
      <w:pPr>
        <w:pStyle w:val="Heading2"/>
        <w:spacing w:after="160" w:before="280"/>
      </w:pPr>
      <w:r>
        <w:rPr>
          <w:rFonts w:ascii="Arial" w:cs="Arial" w:eastAsia="Arial" w:hAnsi="Arial"/>
          <w:b/>
          <w:bCs/>
          <w:color w:val="2E75B6"/>
          <w:sz w:val="26"/>
          <w:szCs w:val="26"/>
        </w:rPr>
        <w:t xml:space="preserve">8.1 Unit Economics Assumptions</w:t>
      </w:r>
    </w:p>
    <w:p>
      <w:pPr>
        <w:spacing w:after="160"/>
        <w:jc w:val="left"/>
      </w:pPr>
      <w:r>
        <w:rPr>
          <w:rFonts w:ascii="Arial" w:cs="Arial" w:eastAsia="Arial" w:hAnsi="Arial"/>
          <w:b w:val="false"/>
          <w:bCs w:val="false"/>
          <w:i w:val="false"/>
          <w:iCs w:val="false"/>
          <w:color w:val="000000"/>
          <w:sz w:val="20"/>
          <w:szCs w:val="20"/>
        </w:rPr>
        <w:t xml:space="preserve">Revenue and cost assumptions are anchored to Puerto Rico utility tariffs, ICA industry benchmarks, and EPA water-use guidance. Key inputs: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Assumption</w:t>
            </w:r>
          </w:p>
        </w:tc>
        <w:tc>
          <w:tcPr>
            <w:tcW w:type="dxa" w:w="536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Value</w:t>
            </w:r>
          </w:p>
        </w:tc>
      </w:tr>
      <w:tr>
        <w:tc>
          <w:tcPr>
            <w:tcW w:type="dxa" w:w="4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Operating Days per Year</w:t>
            </w:r>
          </w:p>
        </w:tc>
        <w:tc>
          <w:tcPr>
            <w:tcW w:type="dxa" w:w="53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360</w:t>
            </w:r>
          </w:p>
        </w:tc>
      </w:tr>
      <w:tr>
        <w:tc>
          <w:tcPr>
            <w:tcW w:type="dxa" w:w="4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Fresh Water Use (with reclaim)</w:t>
            </w:r>
          </w:p>
        </w:tc>
        <w:tc>
          <w:tcPr>
            <w:tcW w:type="dxa" w:w="53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~37 gpv (50% reduction from 75 gpv baseline)</w:t>
            </w:r>
          </w:p>
        </w:tc>
      </w:tr>
      <w:tr>
        <w:tc>
          <w:tcPr>
            <w:tcW w:type="dxa" w:w="4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Commercial Electricity Rate</w:t>
            </w:r>
          </w:p>
        </w:tc>
        <w:tc>
          <w:tcPr>
            <w:tcW w:type="dxa" w:w="53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$0.26–$0.30/kWh (LUMA/PREB)</w:t>
            </w:r>
          </w:p>
        </w:tc>
      </w:tr>
      <w:tr>
        <w:tc>
          <w:tcPr>
            <w:tcW w:type="dxa" w:w="4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Minimum Wage Baseline</w:t>
            </w:r>
          </w:p>
        </w:tc>
        <w:tc>
          <w:tcPr>
            <w:tcW w:type="dxa" w:w="53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$10.50/hour</w:t>
            </w:r>
          </w:p>
        </w:tc>
      </w:tr>
      <w:tr>
        <w:tc>
          <w:tcPr>
            <w:tcW w:type="dxa" w:w="4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Membership Monthly Pricing</w:t>
            </w:r>
          </w:p>
        </w:tc>
        <w:tc>
          <w:tcPr>
            <w:tcW w:type="dxa" w:w="53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$19.99 – $34.99 (tiered packages)</w:t>
            </w:r>
          </w:p>
        </w:tc>
      </w:tr>
      <w:tr>
        <w:tc>
          <w:tcPr>
            <w:tcW w:type="dxa" w:w="4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Target Membership Base (steady state)</w:t>
            </w:r>
          </w:p>
        </w:tc>
        <w:tc>
          <w:tcPr>
            <w:tcW w:type="dxa" w:w="53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1,500–3,000 active members per site</w:t>
            </w:r>
          </w:p>
        </w:tc>
      </w:tr>
      <w:tr>
        <w:tc>
          <w:tcPr>
            <w:tcW w:type="dxa" w:w="4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Average Member Monthly Churn</w:t>
            </w:r>
          </w:p>
        </w:tc>
        <w:tc>
          <w:tcPr>
            <w:tcW w:type="dxa" w:w="53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~7.6% (industry benchmark)</w:t>
            </w:r>
          </w:p>
        </w:tc>
      </w:tr>
    </w:tbl>
    <w:p>
      <w:pPr>
        <w:spacing w:after="120"/>
      </w:pPr>
    </w:p>
    <w:p>
      <w:pPr>
        <w:pStyle w:val="Heading2"/>
        <w:spacing w:after="160" w:before="280"/>
      </w:pPr>
      <w:r>
        <w:rPr>
          <w:rFonts w:ascii="Arial" w:cs="Arial" w:eastAsia="Arial" w:hAnsi="Arial"/>
          <w:b/>
          <w:bCs/>
          <w:color w:val="2E75B6"/>
          <w:sz w:val="26"/>
          <w:szCs w:val="26"/>
        </w:rPr>
        <w:t xml:space="preserve">8.2 Per-Location Pro Forma (Steady-State Annual)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000"/>
        <w:gridCol w:w="2200"/>
        <w:gridCol w:w="2160"/>
      </w:tblGrid>
      <w:tr>
        <w:tc>
          <w:tcPr>
            <w:tcW w:type="dxa" w:w="30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Metric</w:t>
            </w:r>
          </w:p>
        </w:tc>
        <w:tc>
          <w:tcPr>
            <w:tcW w:type="dxa" w:w="20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Conservative</w:t>
            </w:r>
          </w:p>
        </w:tc>
        <w:tc>
          <w:tcPr>
            <w:tcW w:type="dxa" w:w="22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Base Case</w:t>
            </w:r>
          </w:p>
        </w:tc>
        <w:tc>
          <w:tcPr>
            <w:tcW w:type="dxa" w:w="216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Optimistic</w:t>
            </w:r>
          </w:p>
        </w:tc>
      </w:tr>
      <w:tr>
        <w:tc>
          <w:tcPr>
            <w:tcW w:type="dxa" w:w="3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Cars Washed (Annual)</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55,000</w:t>
            </w:r>
          </w:p>
        </w:tc>
        <w:tc>
          <w:tcPr>
            <w:tcW w:type="dxa" w:w="2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90,000</w:t>
            </w:r>
          </w:p>
        </w:tc>
        <w:tc>
          <w:tcPr>
            <w:tcW w:type="dxa" w:w="2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130,000</w:t>
            </w:r>
          </w:p>
        </w:tc>
      </w:tr>
      <w:tr>
        <w:tc>
          <w:tcPr>
            <w:tcW w:type="dxa" w:w="3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Blended Revenue per Wash</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$13.00</w:t>
            </w:r>
          </w:p>
        </w:tc>
        <w:tc>
          <w:tcPr>
            <w:tcW w:type="dxa" w:w="2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$14.50</w:t>
            </w:r>
          </w:p>
        </w:tc>
        <w:tc>
          <w:tcPr>
            <w:tcW w:type="dxa" w:w="2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$15.50</w:t>
            </w:r>
          </w:p>
        </w:tc>
      </w:tr>
      <w:tr>
        <w:tc>
          <w:tcPr>
            <w:tcW w:type="dxa" w:w="3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Wash Revenue (ARR)</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$715,000</w:t>
            </w:r>
          </w:p>
        </w:tc>
        <w:tc>
          <w:tcPr>
            <w:tcW w:type="dxa" w:w="2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$1,305,000</w:t>
            </w:r>
          </w:p>
        </w:tc>
        <w:tc>
          <w:tcPr>
            <w:tcW w:type="dxa" w:w="2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$2,015,000</w:t>
            </w:r>
          </w:p>
        </w:tc>
      </w:tr>
      <w:tr>
        <w:tc>
          <w:tcPr>
            <w:tcW w:type="dxa" w:w="3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Other Revenue (Vending, Upsells)</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$25,000</w:t>
            </w:r>
          </w:p>
        </w:tc>
        <w:tc>
          <w:tcPr>
            <w:tcW w:type="dxa" w:w="2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$60,000</w:t>
            </w:r>
          </w:p>
        </w:tc>
        <w:tc>
          <w:tcPr>
            <w:tcW w:type="dxa" w:w="2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$120,000</w:t>
            </w:r>
          </w:p>
        </w:tc>
      </w:tr>
      <w:tr>
        <w:tc>
          <w:tcPr>
            <w:tcW w:type="dxa" w:w="3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Total Revenue</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$740,000</w:t>
            </w:r>
          </w:p>
        </w:tc>
        <w:tc>
          <w:tcPr>
            <w:tcW w:type="dxa" w:w="2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$1,365,000</w:t>
            </w:r>
          </w:p>
        </w:tc>
        <w:tc>
          <w:tcPr>
            <w:tcW w:type="dxa" w:w="2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$2,135,000</w:t>
            </w:r>
          </w:p>
        </w:tc>
      </w:tr>
      <w:tr>
        <w:tc>
          <w:tcPr>
            <w:tcW w:type="dxa" w:w="3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
            </w:r>
          </w:p>
        </w:tc>
        <w:tc>
          <w:tcPr>
            <w:tcW w:type="dxa" w:w="2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
            </w:r>
          </w:p>
        </w:tc>
        <w:tc>
          <w:tcPr>
            <w:tcW w:type="dxa" w:w="2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
            </w:r>
          </w:p>
        </w:tc>
      </w:tr>
      <w:tr>
        <w:tc>
          <w:tcPr>
            <w:tcW w:type="dxa" w:w="3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Labor</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($260,000)</w:t>
            </w:r>
          </w:p>
        </w:tc>
        <w:tc>
          <w:tcPr>
            <w:tcW w:type="dxa" w:w="2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($320,000)</w:t>
            </w:r>
          </w:p>
        </w:tc>
        <w:tc>
          <w:tcPr>
            <w:tcW w:type="dxa" w:w="2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($420,000)</w:t>
            </w:r>
          </w:p>
        </w:tc>
      </w:tr>
      <w:tr>
        <w:tc>
          <w:tcPr>
            <w:tcW w:type="dxa" w:w="3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Water / Sewer</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($85,000)</w:t>
            </w:r>
          </w:p>
        </w:tc>
        <w:tc>
          <w:tcPr>
            <w:tcW w:type="dxa" w:w="2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($118,000)</w:t>
            </w:r>
          </w:p>
        </w:tc>
        <w:tc>
          <w:tcPr>
            <w:tcW w:type="dxa" w:w="2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($170,000)</w:t>
            </w:r>
          </w:p>
        </w:tc>
      </w:tr>
      <w:tr>
        <w:tc>
          <w:tcPr>
            <w:tcW w:type="dxa" w:w="3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Electricity</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($75,000)</w:t>
            </w:r>
          </w:p>
        </w:tc>
        <w:tc>
          <w:tcPr>
            <w:tcW w:type="dxa" w:w="2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($114,000)</w:t>
            </w:r>
          </w:p>
        </w:tc>
        <w:tc>
          <w:tcPr>
            <w:tcW w:type="dxa" w:w="2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($165,000)</w:t>
            </w:r>
          </w:p>
        </w:tc>
      </w:tr>
      <w:tr>
        <w:tc>
          <w:tcPr>
            <w:tcW w:type="dxa" w:w="3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Chemicals (~6–8% of Revenue)</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($44,000)</w:t>
            </w:r>
          </w:p>
        </w:tc>
        <w:tc>
          <w:tcPr>
            <w:tcW w:type="dxa" w:w="2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($96,000)</w:t>
            </w:r>
          </w:p>
        </w:tc>
        <w:tc>
          <w:tcPr>
            <w:tcW w:type="dxa" w:w="2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($171,000)</w:t>
            </w:r>
          </w:p>
        </w:tc>
      </w:tr>
      <w:tr>
        <w:tc>
          <w:tcPr>
            <w:tcW w:type="dxa" w:w="3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Maintenance / Repairs</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($55,000)</w:t>
            </w:r>
          </w:p>
        </w:tc>
        <w:tc>
          <w:tcPr>
            <w:tcW w:type="dxa" w:w="2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($80,000)</w:t>
            </w:r>
          </w:p>
        </w:tc>
        <w:tc>
          <w:tcPr>
            <w:tcW w:type="dxa" w:w="2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($120,000)</w:t>
            </w:r>
          </w:p>
        </w:tc>
      </w:tr>
      <w:tr>
        <w:tc>
          <w:tcPr>
            <w:tcW w:type="dxa" w:w="3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Insurance + Taxes + Licenses + Admin</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($95,000)</w:t>
            </w:r>
          </w:p>
        </w:tc>
        <w:tc>
          <w:tcPr>
            <w:tcW w:type="dxa" w:w="2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($145,000)</w:t>
            </w:r>
          </w:p>
        </w:tc>
        <w:tc>
          <w:tcPr>
            <w:tcW w:type="dxa" w:w="2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($220,000)</w:t>
            </w:r>
          </w:p>
        </w:tc>
      </w:tr>
      <w:tr>
        <w:tc>
          <w:tcPr>
            <w:tcW w:type="dxa" w:w="3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Total Operating Expenses</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($614,000)</w:t>
            </w:r>
          </w:p>
        </w:tc>
        <w:tc>
          <w:tcPr>
            <w:tcW w:type="dxa" w:w="2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($873,000)</w:t>
            </w:r>
          </w:p>
        </w:tc>
        <w:tc>
          <w:tcPr>
            <w:tcW w:type="dxa" w:w="2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($1,266,000)</w:t>
            </w:r>
          </w:p>
        </w:tc>
      </w:tr>
      <w:tr>
        <w:tc>
          <w:tcPr>
            <w:tcW w:type="dxa" w:w="3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
            </w:r>
          </w:p>
        </w:tc>
        <w:tc>
          <w:tcPr>
            <w:tcW w:type="dxa" w:w="2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
            </w:r>
          </w:p>
        </w:tc>
        <w:tc>
          <w:tcPr>
            <w:tcW w:type="dxa" w:w="2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
            </w:r>
          </w:p>
        </w:tc>
      </w:tr>
      <w:tr>
        <w:tc>
          <w:tcPr>
            <w:tcW w:type="dxa" w:w="3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EBITDA</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$126,000</w:t>
            </w:r>
          </w:p>
        </w:tc>
        <w:tc>
          <w:tcPr>
            <w:tcW w:type="dxa" w:w="2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$492,000</w:t>
            </w:r>
          </w:p>
        </w:tc>
        <w:tc>
          <w:tcPr>
            <w:tcW w:type="dxa" w:w="2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$869,000</w:t>
            </w:r>
          </w:p>
        </w:tc>
      </w:tr>
      <w:tr>
        <w:tc>
          <w:tcPr>
            <w:tcW w:type="dxa" w:w="3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EBITDA Margin</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17.0%</w:t>
            </w:r>
          </w:p>
        </w:tc>
        <w:tc>
          <w:tcPr>
            <w:tcW w:type="dxa" w:w="2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36.0%</w:t>
            </w:r>
          </w:p>
        </w:tc>
        <w:tc>
          <w:tcPr>
            <w:tcW w:type="dxa" w:w="2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40.7%</w:t>
            </w:r>
          </w:p>
        </w:tc>
      </w:tr>
    </w:tbl>
    <w:p>
      <w:pPr>
        <w:spacing w:after="120"/>
      </w:pPr>
    </w:p>
    <w:p>
      <w:pPr>
        <w:pStyle w:val="Heading2"/>
        <w:spacing w:after="160" w:before="280"/>
      </w:pPr>
      <w:r>
        <w:rPr>
          <w:rFonts w:ascii="Arial" w:cs="Arial" w:eastAsia="Arial" w:hAnsi="Arial"/>
          <w:b/>
          <w:bCs/>
          <w:color w:val="2E75B6"/>
          <w:sz w:val="26"/>
          <w:szCs w:val="26"/>
        </w:rPr>
        <w:t xml:space="preserve">8.3 Portfolio-Level Economics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1600"/>
        <w:gridCol w:w="1000"/>
        <w:gridCol w:w="3160"/>
      </w:tblGrid>
      <w:tr>
        <w:tc>
          <w:tcPr>
            <w:tcW w:type="dxa" w:w="18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Portfolio</w:t>
            </w:r>
          </w:p>
        </w:tc>
        <w:tc>
          <w:tcPr>
            <w:tcW w:type="dxa" w:w="18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Total Revenue</w:t>
            </w:r>
          </w:p>
        </w:tc>
        <w:tc>
          <w:tcPr>
            <w:tcW w:type="dxa" w:w="16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Total EBITDA</w:t>
            </w:r>
          </w:p>
        </w:tc>
        <w:tc>
          <w:tcPr>
            <w:tcW w:type="dxa" w:w="10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Margin</w:t>
            </w:r>
          </w:p>
        </w:tc>
        <w:tc>
          <w:tcPr>
            <w:tcW w:type="dxa" w:w="316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Notes</w:t>
            </w:r>
          </w:p>
        </w:tc>
      </w:tr>
      <w:tr>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 Sites (Base Case)</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$2,730,000</w:t>
            </w:r>
          </w:p>
        </w:tc>
        <w:tc>
          <w:tcPr>
            <w:tcW w:type="dxa" w:w="16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$984,000</w:t>
            </w:r>
          </w:p>
        </w:tc>
        <w:tc>
          <w:tcPr>
            <w:tcW w:type="dxa" w:w="1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36.0%</w:t>
            </w:r>
          </w:p>
        </w:tc>
        <w:tc>
          <w:tcPr>
            <w:tcW w:type="dxa" w:w="3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Lower complexity; faster stabilization</w:t>
            </w:r>
          </w:p>
        </w:tc>
      </w:tr>
      <w:tr>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3 Sites (Base Case)</w:t>
            </w:r>
          </w:p>
        </w:tc>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$4,095,000</w:t>
            </w:r>
          </w:p>
        </w:tc>
        <w:tc>
          <w:tcPr>
            <w:tcW w:type="dxa" w:w="16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$1,476,000</w:t>
            </w:r>
          </w:p>
        </w:tc>
        <w:tc>
          <w:tcPr>
            <w:tcW w:type="dxa" w:w="1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36.0%</w:t>
            </w:r>
          </w:p>
        </w:tc>
        <w:tc>
          <w:tcPr>
            <w:tcW w:type="dxa" w:w="3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Better overhead leverage; stronger brand</w:t>
            </w:r>
          </w:p>
        </w:tc>
      </w:tr>
    </w:tbl>
    <w:p>
      <w:pPr>
        <w:spacing w:after="120"/>
      </w:pPr>
    </w:p>
    <w:p>
      <w:pPr>
        <w:pStyle w:val="Heading2"/>
        <w:spacing w:after="160" w:before="280"/>
      </w:pPr>
      <w:r>
        <w:rPr>
          <w:rFonts w:ascii="Arial" w:cs="Arial" w:eastAsia="Arial" w:hAnsi="Arial"/>
          <w:b/>
          <w:bCs/>
          <w:color w:val="2E75B6"/>
          <w:sz w:val="26"/>
          <w:szCs w:val="26"/>
        </w:rPr>
        <w:t xml:space="preserve">8.4 Membership Revenue Model</w:t>
      </w:r>
    </w:p>
    <w:p>
      <w:pPr>
        <w:spacing w:after="160"/>
        <w:jc w:val="left"/>
      </w:pPr>
      <w:r>
        <w:rPr>
          <w:rFonts w:ascii="Arial" w:cs="Arial" w:eastAsia="Arial" w:hAnsi="Arial"/>
          <w:b w:val="false"/>
          <w:bCs w:val="false"/>
          <w:i w:val="false"/>
          <w:iCs w:val="false"/>
          <w:color w:val="000000"/>
          <w:sz w:val="20"/>
          <w:szCs w:val="20"/>
        </w:rPr>
        <w:t xml:space="preserve">Membership/subscription revenue is the primary growth engine for modern express car wash operations. Based on industry benchmarks, a mature site with 2,000–2,500 active members at an average monthly price of $24.99 generates $600K–$750K in annual recurring membership revenue, representing 46–55% of total revenue at the base case volume. Key engagement metrics: operators achieving 3+ member washes in the first 30 days see 76% higher retention rates, while members averaging fewer than 1.7 washes in the first month are 75% less likely to renew.</w:t>
      </w:r>
    </w:p>
    <w:p>
      <w:pPr>
        <w:pStyle w:val="Heading2"/>
        <w:spacing w:after="160" w:before="280"/>
      </w:pPr>
      <w:r>
        <w:rPr>
          <w:rFonts w:ascii="Arial" w:cs="Arial" w:eastAsia="Arial" w:hAnsi="Arial"/>
          <w:b/>
          <w:bCs/>
          <w:color w:val="2E75B6"/>
          <w:sz w:val="26"/>
          <w:szCs w:val="26"/>
        </w:rPr>
        <w:t xml:space="preserve">8.5 Break-Even Analysis</w:t>
      </w:r>
    </w:p>
    <w:p>
      <w:pPr>
        <w:spacing w:after="160"/>
        <w:jc w:val="left"/>
      </w:pPr>
      <w:r>
        <w:rPr>
          <w:rFonts w:ascii="Arial" w:cs="Arial" w:eastAsia="Arial" w:hAnsi="Arial"/>
          <w:b w:val="false"/>
          <w:bCs w:val="false"/>
          <w:i w:val="false"/>
          <w:iCs w:val="false"/>
          <w:color w:val="000000"/>
          <w:sz w:val="20"/>
          <w:szCs w:val="20"/>
        </w:rPr>
        <w:t xml:space="preserve">At the base case revenue per wash of $14.50 and the mid-range operating cost structure, break-even volume is approximately 165–175 cars per day (60,000–63,000 annual washes). This represents approximately 67–70% of the base case volume target. With a membership model reducing effective per-wash cost for members while locking in recurring revenue, the break-even point can be reached earlier as the membership base builds during the first 12–18 months of operations.</w:t>
      </w:r>
    </w:p>
    <w:p>
      <w:pPr>
        <w:pStyle w:val="Heading2"/>
        <w:spacing w:after="160" w:before="280"/>
      </w:pPr>
      <w:r>
        <w:rPr>
          <w:rFonts w:ascii="Arial" w:cs="Arial" w:eastAsia="Arial" w:hAnsi="Arial"/>
          <w:b/>
          <w:bCs/>
          <w:color w:val="2E75B6"/>
          <w:sz w:val="26"/>
          <w:szCs w:val="26"/>
        </w:rPr>
        <w:t xml:space="preserve">8.6 Investor Return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00"/>
        <w:gridCol w:w="4160"/>
      </w:tblGrid>
      <w:tr>
        <w:tc>
          <w:tcPr>
            <w:tcW w:type="dxa" w:w="32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Metric</w:t>
            </w:r>
          </w:p>
        </w:tc>
        <w:tc>
          <w:tcPr>
            <w:tcW w:type="dxa" w:w="20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Value</w:t>
            </w:r>
          </w:p>
        </w:tc>
        <w:tc>
          <w:tcPr>
            <w:tcW w:type="dxa" w:w="416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Notes</w:t>
            </w:r>
          </w:p>
        </w:tc>
      </w:tr>
      <w:tr>
        <w:tc>
          <w:tcPr>
            <w:tcW w:type="dxa" w:w="3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Initial Equity Investment (per site)</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$4,250,000</w:t>
            </w:r>
          </w:p>
        </w:tc>
        <w:tc>
          <w:tcPr>
            <w:tcW w:type="dxa" w:w="4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Mid-case total project cost</w:t>
            </w:r>
          </w:p>
        </w:tc>
      </w:tr>
      <w:tr>
        <w:tc>
          <w:tcPr>
            <w:tcW w:type="dxa" w:w="3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Steady-State Annual Free Cash Flow</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$385,000</w:t>
            </w:r>
          </w:p>
        </w:tc>
        <w:tc>
          <w:tcPr>
            <w:tcW w:type="dxa" w:w="4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EBITDA less maintenance capex reserve</w:t>
            </w:r>
          </w:p>
        </w:tc>
      </w:tr>
      <w:tr>
        <w:tc>
          <w:tcPr>
            <w:tcW w:type="dxa" w:w="3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Terminal Value (8x EBITDA)</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$3,936,000</w:t>
            </w:r>
          </w:p>
        </w:tc>
        <w:tc>
          <w:tcPr>
            <w:tcW w:type="dxa" w:w="4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Year 10 exit assumption</w:t>
            </w:r>
          </w:p>
        </w:tc>
      </w:tr>
      <w:tr>
        <w:tc>
          <w:tcPr>
            <w:tcW w:type="dxa" w:w="3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Pre-Tax-Shield IRR</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10–11%</w:t>
            </w:r>
          </w:p>
        </w:tc>
        <w:tc>
          <w:tcPr>
            <w:tcW w:type="dxa" w:w="4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Without depreciation benefits</w:t>
            </w:r>
          </w:p>
        </w:tc>
      </w:tr>
      <w:tr>
        <w:tc>
          <w:tcPr>
            <w:tcW w:type="dxa" w:w="3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IRR with Year 1 Tax Shield (21% rate)</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12–13%</w:t>
            </w:r>
          </w:p>
        </w:tc>
        <w:tc>
          <w:tcPr>
            <w:tcW w:type="dxa" w:w="4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Corporate investor structure</w:t>
            </w:r>
          </w:p>
        </w:tc>
      </w:tr>
      <w:tr>
        <w:tc>
          <w:tcPr>
            <w:tcW w:type="dxa" w:w="3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IRR with Year 1 Tax Shield (37% rate)</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14–16%</w:t>
            </w:r>
          </w:p>
        </w:tc>
        <w:tc>
          <w:tcPr>
            <w:tcW w:type="dxa" w:w="4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High-income individual pass-through</w:t>
            </w:r>
          </w:p>
        </w:tc>
      </w:tr>
      <w:tr>
        <w:tc>
          <w:tcPr>
            <w:tcW w:type="dxa" w:w="3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Cash-on-Cash Payback Period</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8–10 years</w:t>
            </w:r>
          </w:p>
        </w:tc>
        <w:tc>
          <w:tcPr>
            <w:tcW w:type="dxa" w:w="4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Without tax benefits</w:t>
            </w:r>
          </w:p>
        </w:tc>
      </w:tr>
      <w:tr>
        <w:tc>
          <w:tcPr>
            <w:tcW w:type="dxa" w:w="3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Effective Payback (with tax shield)</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6–8 years</w:t>
            </w:r>
          </w:p>
        </w:tc>
        <w:tc>
          <w:tcPr>
            <w:tcW w:type="dxa" w:w="4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Tax shield accelerates capital return</w:t>
            </w:r>
          </w:p>
        </w:tc>
      </w:tr>
    </w:tbl>
    <w:p>
      <w:pPr>
        <w:spacing w:after="120"/>
      </w:pPr>
    </w:p>
    <w:p>
      <w:pPr>
        <w:spacing w:after="160"/>
        <w:jc w:val="left"/>
      </w:pPr>
      <w:r>
        <w:rPr>
          <w:rFonts w:ascii="Arial" w:cs="Arial" w:eastAsia="Arial" w:hAnsi="Arial"/>
          <w:b w:val="false"/>
          <w:bCs w:val="false"/>
          <w:i/>
          <w:iCs/>
          <w:color w:val="666666"/>
          <w:sz w:val="20"/>
          <w:szCs w:val="20"/>
        </w:rPr>
        <w:t xml:space="preserve">These returns are illustrative and highly sensitive to: (1) actual construction costs and timeline, (2) membership ramp speed, (3) investor tax posture and ability to use depreciation deductions, (4) debt structure and terms, and (5) exit assumptions. All projections should be modeled under the final capital structure with CPA guidance.</w:t>
      </w:r>
    </w:p>
    <w:p>
      <w:r>
        <w:br w:type="page"/>
      </w:r>
    </w:p>
    <w:p>
      <w:pPr>
        <w:pStyle w:val="Heading1"/>
        <w:spacing w:after="200" w:before="360"/>
      </w:pPr>
      <w:r>
        <w:rPr>
          <w:rFonts w:ascii="Arial" w:cs="Arial" w:eastAsia="Arial" w:hAnsi="Arial"/>
          <w:b/>
          <w:bCs/>
          <w:color w:val="1B3A5C"/>
          <w:sz w:val="32"/>
          <w:szCs w:val="32"/>
        </w:rPr>
        <w:t xml:space="preserve">9. Operational Model &amp; Best Practices</w:t>
      </w:r>
    </w:p>
    <w:p>
      <w:pPr>
        <w:pStyle w:val="Heading2"/>
        <w:spacing w:after="160" w:before="280"/>
      </w:pPr>
      <w:r>
        <w:rPr>
          <w:rFonts w:ascii="Arial" w:cs="Arial" w:eastAsia="Arial" w:hAnsi="Arial"/>
          <w:b/>
          <w:bCs/>
          <w:color w:val="2E75B6"/>
          <w:sz w:val="26"/>
          <w:szCs w:val="26"/>
        </w:rPr>
        <w:t xml:space="preserve">9.1 Modern Express Wash Operating Model</w:t>
      </w:r>
    </w:p>
    <w:p>
      <w:pPr>
        <w:spacing w:after="160"/>
        <w:jc w:val="left"/>
      </w:pPr>
      <w:r>
        <w:rPr>
          <w:rFonts w:ascii="Arial" w:cs="Arial" w:eastAsia="Arial" w:hAnsi="Arial"/>
          <w:b w:val="false"/>
          <w:bCs w:val="false"/>
          <w:i w:val="false"/>
          <w:iCs w:val="false"/>
          <w:color w:val="000000"/>
          <w:sz w:val="20"/>
          <w:szCs w:val="20"/>
        </w:rPr>
        <w:t xml:space="preserve">A modern express operator’s competitive moat is built on three pillars: membership and CRM discipline (membership is the fastest-growing service line and central to revenue stability), automation-first site design (pay stations, app-based subscription management, license-plate recognition, and queue optimization to maximize cars per hour), and standardized chemical and maintenance programs (dilution control, preventive maintenance schedules, and uptime KPIs tied to revenue protection).</w:t>
      </w:r>
    </w:p>
    <w:p>
      <w:pPr>
        <w:pStyle w:val="Heading2"/>
        <w:spacing w:after="160" w:before="280"/>
      </w:pPr>
      <w:r>
        <w:rPr>
          <w:rFonts w:ascii="Arial" w:cs="Arial" w:eastAsia="Arial" w:hAnsi="Arial"/>
          <w:b/>
          <w:bCs/>
          <w:color w:val="2E75B6"/>
          <w:sz w:val="26"/>
          <w:szCs w:val="26"/>
        </w:rPr>
        <w:t xml:space="preserve">9.2 Staffing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200"/>
        <w:gridCol w:w="2000"/>
        <w:gridCol w:w="3960"/>
      </w:tblGrid>
      <w:tr>
        <w:tc>
          <w:tcPr>
            <w:tcW w:type="dxa" w:w="22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Position</w:t>
            </w:r>
          </w:p>
        </w:tc>
        <w:tc>
          <w:tcPr>
            <w:tcW w:type="dxa" w:w="12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Headcount</w:t>
            </w:r>
          </w:p>
        </w:tc>
        <w:tc>
          <w:tcPr>
            <w:tcW w:type="dxa" w:w="20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Annual Cost</w:t>
            </w:r>
          </w:p>
        </w:tc>
        <w:tc>
          <w:tcPr>
            <w:tcW w:type="dxa" w:w="396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Responsibilities</w:t>
            </w:r>
          </w:p>
        </w:tc>
      </w:tr>
      <w:tr>
        <w:tc>
          <w:tcPr>
            <w:tcW w:type="dxa" w:w="2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Site Manager</w:t>
            </w:r>
          </w:p>
        </w:tc>
        <w:tc>
          <w:tcPr>
            <w:tcW w:type="dxa" w:w="1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$45,000–$55,000</w:t>
            </w:r>
          </w:p>
        </w:tc>
        <w:tc>
          <w:tcPr>
            <w:tcW w:type="dxa" w:w="39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Operations oversight, P&amp;L responsibility</w:t>
            </w:r>
          </w:p>
        </w:tc>
      </w:tr>
      <w:tr>
        <w:tc>
          <w:tcPr>
            <w:tcW w:type="dxa" w:w="2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Shift Leads</w:t>
            </w:r>
          </w:p>
        </w:tc>
        <w:tc>
          <w:tcPr>
            <w:tcW w:type="dxa" w:w="1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$28,000–$35,000</w:t>
            </w:r>
          </w:p>
        </w:tc>
        <w:tc>
          <w:tcPr>
            <w:tcW w:type="dxa" w:w="39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Day-to-day operations management</w:t>
            </w:r>
          </w:p>
        </w:tc>
      </w:tr>
      <w:tr>
        <w:tc>
          <w:tcPr>
            <w:tcW w:type="dxa" w:w="2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Tunnel Guides / Attendants</w:t>
            </w:r>
          </w:p>
        </w:tc>
        <w:tc>
          <w:tcPr>
            <w:tcW w:type="dxa" w:w="1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4–6</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$22,000–$26,000</w:t>
            </w:r>
          </w:p>
        </w:tc>
        <w:tc>
          <w:tcPr>
            <w:tcW w:type="dxa" w:w="39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Vehicle loading, customer assistance</w:t>
            </w:r>
          </w:p>
        </w:tc>
      </w:tr>
      <w:tr>
        <w:tc>
          <w:tcPr>
            <w:tcW w:type="dxa" w:w="2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Maintenance Technician</w:t>
            </w:r>
          </w:p>
        </w:tc>
        <w:tc>
          <w:tcPr>
            <w:tcW w:type="dxa" w:w="1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 (shared)</w:t>
            </w:r>
          </w:p>
        </w:tc>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$35,000–$45,000</w:t>
            </w:r>
          </w:p>
        </w:tc>
        <w:tc>
          <w:tcPr>
            <w:tcW w:type="dxa" w:w="39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Preventive maintenance, repairs</w:t>
            </w:r>
          </w:p>
        </w:tc>
      </w:tr>
      <w:tr>
        <w:tc>
          <w:tcPr>
            <w:tcW w:type="dxa" w:w="2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Total per Site</w:t>
            </w:r>
          </w:p>
        </w:tc>
        <w:tc>
          <w:tcPr>
            <w:tcW w:type="dxa" w:w="1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8–10 FTEs</w:t>
            </w:r>
          </w:p>
        </w:tc>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$260,000–$320,000</w:t>
            </w:r>
          </w:p>
        </w:tc>
        <w:tc>
          <w:tcPr>
            <w:tcW w:type="dxa" w:w="39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Base case labor budget</w:t>
            </w:r>
          </w:p>
        </w:tc>
      </w:tr>
    </w:tbl>
    <w:p>
      <w:pPr>
        <w:spacing w:after="120"/>
      </w:pPr>
    </w:p>
    <w:p>
      <w:pPr>
        <w:pStyle w:val="Heading2"/>
        <w:spacing w:after="160" w:before="280"/>
      </w:pPr>
      <w:r>
        <w:rPr>
          <w:rFonts w:ascii="Arial" w:cs="Arial" w:eastAsia="Arial" w:hAnsi="Arial"/>
          <w:b/>
          <w:bCs/>
          <w:color w:val="2E75B6"/>
          <w:sz w:val="26"/>
          <w:szCs w:val="26"/>
        </w:rPr>
        <w:t xml:space="preserve">9.3 Technology Stack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600"/>
        <w:gridCol w:w="1800"/>
        <w:gridCol w:w="2960"/>
      </w:tblGrid>
      <w:tr>
        <w:tc>
          <w:tcPr>
            <w:tcW w:type="dxa" w:w="20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System</w:t>
            </w:r>
          </w:p>
        </w:tc>
        <w:tc>
          <w:tcPr>
            <w:tcW w:type="dxa" w:w="26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Leading Vendors</w:t>
            </w:r>
          </w:p>
        </w:tc>
        <w:tc>
          <w:tcPr>
            <w:tcW w:type="dxa" w:w="18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Investment</w:t>
            </w:r>
          </w:p>
        </w:tc>
        <w:tc>
          <w:tcPr>
            <w:tcW w:type="dxa" w:w="296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Function</w:t>
            </w:r>
          </w:p>
        </w:tc>
      </w:tr>
      <w:tr>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POS / Site Management</w:t>
            </w:r>
          </w:p>
        </w:tc>
        <w:tc>
          <w:tcPr>
            <w:tcW w:type="dxa" w:w="26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DRB Systems, Washify, Sonny’s OneWash</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$85,000–$140,000</w:t>
            </w:r>
          </w:p>
        </w:tc>
        <w:tc>
          <w:tcPr>
            <w:tcW w:type="dxa" w:w="29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Revenue management, reporting</w:t>
            </w:r>
          </w:p>
        </w:tc>
      </w:tr>
      <w:tr>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License Plate Recognition</w:t>
            </w:r>
          </w:p>
        </w:tc>
        <w:tc>
          <w:tcPr>
            <w:tcW w:type="dxa" w:w="26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ICS Auto Passport, Sonny’s LPR, DRB AI-LPR</w:t>
            </w:r>
          </w:p>
        </w:tc>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$30,000+</w:t>
            </w:r>
          </w:p>
        </w:tc>
        <w:tc>
          <w:tcPr>
            <w:tcW w:type="dxa" w:w="29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98–99.9% accuracy; membership ID</w:t>
            </w:r>
          </w:p>
        </w:tc>
      </w:tr>
      <w:tr>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CRM / Membership Platform</w:t>
            </w:r>
          </w:p>
        </w:tc>
        <w:tc>
          <w:tcPr>
            <w:tcW w:type="dxa" w:w="26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Rinsed (4% commission), EverWash</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Variable</w:t>
            </w:r>
          </w:p>
        </w:tc>
        <w:tc>
          <w:tcPr>
            <w:tcW w:type="dxa" w:w="29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Retention, marketing automation</w:t>
            </w:r>
          </w:p>
        </w:tc>
      </w:tr>
      <w:tr>
        <w:tc>
          <w:tcPr>
            <w:tcW w:type="dxa" w:w="2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Pay Stations / Kiosks</w:t>
            </w:r>
          </w:p>
        </w:tc>
        <w:tc>
          <w:tcPr>
            <w:tcW w:type="dxa" w:w="26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Hamilton, ICS, DRB</w:t>
            </w:r>
          </w:p>
        </w:tc>
        <w:tc>
          <w:tcPr>
            <w:tcW w:type="dxa" w:w="1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$15,000–$25,000 each</w:t>
            </w:r>
          </w:p>
        </w:tc>
        <w:tc>
          <w:tcPr>
            <w:tcW w:type="dxa" w:w="29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2–4 units per site</w:t>
            </w:r>
          </w:p>
        </w:tc>
      </w:tr>
      <w:tr>
        <w:tc>
          <w:tcPr>
            <w:tcW w:type="dxa" w:w="2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Mobile App / Web Portal</w:t>
            </w:r>
          </w:p>
        </w:tc>
        <w:tc>
          <w:tcPr>
            <w:tcW w:type="dxa" w:w="26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Vendor-integrated or custom</w:t>
            </w:r>
          </w:p>
        </w:tc>
        <w:tc>
          <w:tcPr>
            <w:tcW w:type="dxa" w:w="1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$10,000–$30,000</w:t>
            </w:r>
          </w:p>
        </w:tc>
        <w:tc>
          <w:tcPr>
            <w:tcW w:type="dxa" w:w="29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Member self-service, plan changes</w:t>
            </w:r>
          </w:p>
        </w:tc>
      </w:tr>
    </w:tbl>
    <w:p>
      <w:pPr>
        <w:spacing w:after="120"/>
      </w:pPr>
    </w:p>
    <w:p>
      <w:pPr>
        <w:pStyle w:val="Heading2"/>
        <w:spacing w:after="160" w:before="280"/>
      </w:pPr>
      <w:r>
        <w:rPr>
          <w:rFonts w:ascii="Arial" w:cs="Arial" w:eastAsia="Arial" w:hAnsi="Arial"/>
          <w:b/>
          <w:bCs/>
          <w:color w:val="2E75B6"/>
          <w:sz w:val="26"/>
          <w:szCs w:val="26"/>
        </w:rPr>
        <w:t xml:space="preserve">9.4 Equipment Manufacturers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560"/>
        <w:gridCol w:w="2600"/>
      </w:tblGrid>
      <w:tr>
        <w:tc>
          <w:tcPr>
            <w:tcW w:type="dxa" w:w="22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Manufacturer</w:t>
            </w:r>
          </w:p>
        </w:tc>
        <w:tc>
          <w:tcPr>
            <w:tcW w:type="dxa" w:w="456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Key Products</w:t>
            </w:r>
          </w:p>
        </w:tc>
        <w:tc>
          <w:tcPr>
            <w:tcW w:type="dxa" w:w="26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Notes</w:t>
            </w:r>
          </w:p>
        </w:tc>
      </w:tr>
      <w:tr>
        <w:tc>
          <w:tcPr>
            <w:tcW w:type="dxa" w:w="2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Tommy Car Wash Systems</w:t>
            </w:r>
          </w:p>
        </w:tc>
        <w:tc>
          <w:tcPr>
            <w:tcW w:type="dxa" w:w="45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Tommy Transporter dual belt; compact friction; Signature Profile chemicals</w:t>
            </w:r>
          </w:p>
        </w:tc>
        <w:tc>
          <w:tcPr>
            <w:tcW w:type="dxa" w:w="26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Premium integrated solution</w:t>
            </w:r>
          </w:p>
        </w:tc>
      </w:tr>
      <w:tr>
        <w:tc>
          <w:tcPr>
            <w:tcW w:type="dxa" w:w="2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Sonny’s The CarWash Factory</w:t>
            </w:r>
          </w:p>
        </w:tc>
        <w:tc>
          <w:tcPr>
            <w:tcW w:type="dxa" w:w="45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OneWash management; electric/hydraulic conveyors; 12,000+ parts inventory</w:t>
            </w:r>
          </w:p>
        </w:tc>
        <w:tc>
          <w:tcPr>
            <w:tcW w:type="dxa" w:w="26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Largest manufacturer; full ecosystem</w:t>
            </w:r>
          </w:p>
        </w:tc>
      </w:tr>
      <w:tr>
        <w:tc>
          <w:tcPr>
            <w:tcW w:type="dxa" w:w="2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PDQ Manufacturing (OPW)</w:t>
            </w:r>
          </w:p>
        </w:tc>
        <w:tc>
          <w:tcPr>
            <w:tcW w:type="dxa" w:w="45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LaserWash 360 Plus touchless; ProTouch friction; SwingAir/MaxAir dryers</w:t>
            </w:r>
          </w:p>
        </w:tc>
        <w:tc>
          <w:tcPr>
            <w:tcW w:type="dxa" w:w="26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Industry-leading touchless technology</w:t>
            </w:r>
          </w:p>
        </w:tc>
      </w:tr>
      <w:tr>
        <w:tc>
          <w:tcPr>
            <w:tcW w:type="dxa" w:w="2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MacNeil Wash Systems</w:t>
            </w:r>
          </w:p>
        </w:tc>
        <w:tc>
          <w:tcPr>
            <w:tcW w:type="dxa" w:w="45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Express tunnels (85’–150’); XR-1000 conveyor; turnkey packages</w:t>
            </w:r>
          </w:p>
        </w:tc>
        <w:tc>
          <w:tcPr>
            <w:tcW w:type="dxa" w:w="26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$750K–$1.2M equipment packages</w:t>
            </w:r>
          </w:p>
        </w:tc>
      </w:tr>
      <w:tr>
        <w:tc>
          <w:tcPr>
            <w:tcW w:type="dxa" w:w="22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Motor City Wash Works</w:t>
            </w:r>
          </w:p>
        </w:tc>
        <w:tc>
          <w:tcPr>
            <w:tcW w:type="dxa" w:w="45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CruzControl conveyor; Glide XD belt; 300GT wrap-arounds</w:t>
            </w:r>
          </w:p>
        </w:tc>
        <w:tc>
          <w:tcPr>
            <w:tcW w:type="dxa" w:w="26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Michigan-based; competitive pricing</w:t>
            </w:r>
          </w:p>
        </w:tc>
      </w:tr>
      <w:tr>
        <w:tc>
          <w:tcPr>
            <w:tcW w:type="dxa" w:w="22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D&amp;S Car Wash Equipment</w:t>
            </w:r>
          </w:p>
        </w:tc>
        <w:tc>
          <w:tcPr>
            <w:tcW w:type="dxa" w:w="45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IQ 2.0 in-bay automatics; self-serve systems; USA manufactured</w:t>
            </w:r>
          </w:p>
        </w:tc>
        <w:tc>
          <w:tcPr>
            <w:tcW w:type="dxa" w:w="26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Strong in-bay automatic line</w:t>
            </w:r>
          </w:p>
        </w:tc>
      </w:tr>
    </w:tbl>
    <w:p>
      <w:pPr>
        <w:spacing w:after="120"/>
      </w:pPr>
    </w:p>
    <w:p>
      <w:pPr>
        <w:pStyle w:val="Heading2"/>
        <w:spacing w:after="160" w:before="280"/>
      </w:pPr>
      <w:r>
        <w:rPr>
          <w:rFonts w:ascii="Arial" w:cs="Arial" w:eastAsia="Arial" w:hAnsi="Arial"/>
          <w:b/>
          <w:bCs/>
          <w:color w:val="2E75B6"/>
          <w:sz w:val="26"/>
          <w:szCs w:val="26"/>
        </w:rPr>
        <w:t xml:space="preserve">9.5 Core KPIs for Portfolio Management</w:t>
      </w:r>
    </w:p>
    <w:p>
      <w:pPr>
        <w:spacing w:after="160"/>
        <w:jc w:val="left"/>
      </w:pPr>
      <w:r>
        <w:rPr>
          <w:rFonts w:ascii="Arial" w:cs="Arial" w:eastAsia="Arial" w:hAnsi="Arial"/>
          <w:b w:val="false"/>
          <w:bCs w:val="false"/>
          <w:i w:val="false"/>
          <w:iCs w:val="false"/>
          <w:color w:val="000000"/>
          <w:sz w:val="20"/>
          <w:szCs w:val="20"/>
        </w:rPr>
        <w:t xml:space="preserve">A multi-location portfolio should track: cars per day, cars per hour (peak), average ticket, membership count, member churn rate, and member utilization (washes per member per month). Operational KPIs include chemical cost per wash, energy per wash (kWh), water per wash (fresh draw versus reclaim), reclaim system effectiveness, downtime hours, mean time to repair, and customer experience metrics (rewash rate, NPS-equivalent feedback).</w:t>
      </w:r>
    </w:p>
    <w:p>
      <w:r>
        <w:br w:type="page"/>
      </w:r>
    </w:p>
    <w:p>
      <w:pPr>
        <w:pStyle w:val="Heading1"/>
        <w:spacing w:after="200" w:before="360"/>
      </w:pPr>
      <w:r>
        <w:rPr>
          <w:rFonts w:ascii="Arial" w:cs="Arial" w:eastAsia="Arial" w:hAnsi="Arial"/>
          <w:b/>
          <w:bCs/>
          <w:color w:val="1B3A5C"/>
          <w:sz w:val="32"/>
          <w:szCs w:val="32"/>
        </w:rPr>
        <w:t xml:space="preserve">10. Maintenance Requirements &amp; Long-Term Costs</w:t>
      </w:r>
    </w:p>
    <w:p>
      <w:pPr>
        <w:pStyle w:val="Heading2"/>
        <w:spacing w:after="160" w:before="280"/>
      </w:pPr>
      <w:r>
        <w:rPr>
          <w:rFonts w:ascii="Arial" w:cs="Arial" w:eastAsia="Arial" w:hAnsi="Arial"/>
          <w:b/>
          <w:bCs/>
          <w:color w:val="2E75B6"/>
          <w:sz w:val="26"/>
          <w:szCs w:val="26"/>
        </w:rPr>
        <w:t xml:space="preserve">10.1 Maintenance Schedule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5560"/>
        <w:gridCol w:w="2400"/>
      </w:tblGrid>
      <w:tr>
        <w:tc>
          <w:tcPr>
            <w:tcW w:type="dxa" w:w="14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Frequency</w:t>
            </w:r>
          </w:p>
        </w:tc>
        <w:tc>
          <w:tcPr>
            <w:tcW w:type="dxa" w:w="556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Tasks</w:t>
            </w:r>
          </w:p>
        </w:tc>
        <w:tc>
          <w:tcPr>
            <w:tcW w:type="dxa" w:w="24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Performed By</w:t>
            </w:r>
          </w:p>
        </w:tc>
      </w:tr>
      <w:tr>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Daily</w:t>
            </w:r>
          </w:p>
        </w:tc>
        <w:tc>
          <w:tcPr>
            <w:tcW w:type="dxa" w:w="55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Nozzle checks, chemical calibration, conveyor inspection, pit cleaning, reclaim filter checks</w:t>
            </w:r>
          </w:p>
        </w:tc>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Operations crew</w:t>
            </w:r>
          </w:p>
        </w:tc>
      </w:tr>
      <w:tr>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Weekly</w:t>
            </w:r>
          </w:p>
        </w:tc>
        <w:tc>
          <w:tcPr>
            <w:tcW w:type="dxa" w:w="55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Belt tension, brush condition, pay station/sensor cleaning, drainage inspection</w:t>
            </w:r>
          </w:p>
        </w:tc>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Shift lead + tech</w:t>
            </w:r>
          </w:p>
        </w:tc>
      </w:tr>
      <w:tr>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Monthly</w:t>
            </w:r>
          </w:p>
        </w:tc>
        <w:tc>
          <w:tcPr>
            <w:tcW w:type="dxa" w:w="55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Blower belt inspection, pump service, sensor calibration, reclaim media maintenance</w:t>
            </w:r>
          </w:p>
        </w:tc>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Maintenance tech</w:t>
            </w:r>
          </w:p>
        </w:tc>
      </w:tr>
      <w:tr>
        <w:tc>
          <w:tcPr>
            <w:tcW w:type="dxa" w:w="1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Quarterly</w:t>
            </w:r>
          </w:p>
        </w:tc>
        <w:tc>
          <w:tcPr>
            <w:tcW w:type="dxa" w:w="55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Bay door and safety system inspection, electrical connections, corrosion inspection</w:t>
            </w:r>
          </w:p>
        </w:tc>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Maintenance tech</w:t>
            </w:r>
          </w:p>
        </w:tc>
      </w:tr>
      <w:tr>
        <w:tc>
          <w:tcPr>
            <w:tcW w:type="dxa" w:w="1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Annual</w:t>
            </w:r>
          </w:p>
        </w:tc>
        <w:tc>
          <w:tcPr>
            <w:tcW w:type="dxa" w:w="55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Major pump rebuilds, reclaim system full service, electrical/controls check, full corrosion audit</w:t>
            </w:r>
          </w:p>
        </w:tc>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Specialized vendor</w:t>
            </w:r>
          </w:p>
        </w:tc>
      </w:tr>
    </w:tbl>
    <w:p>
      <w:pPr>
        <w:spacing w:after="120"/>
      </w:pPr>
    </w:p>
    <w:p>
      <w:pPr>
        <w:pStyle w:val="Heading2"/>
        <w:spacing w:after="160" w:before="280"/>
      </w:pPr>
      <w:r>
        <w:rPr>
          <w:rFonts w:ascii="Arial" w:cs="Arial" w:eastAsia="Arial" w:hAnsi="Arial"/>
          <w:b/>
          <w:bCs/>
          <w:color w:val="2E75B6"/>
          <w:sz w:val="26"/>
          <w:szCs w:val="26"/>
        </w:rPr>
        <w:t xml:space="preserve">10.2 Replacement Cycles &amp; Long-Term Costs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400"/>
        <w:gridCol w:w="4160"/>
      </w:tblGrid>
      <w:tr>
        <w:tc>
          <w:tcPr>
            <w:tcW w:type="dxa" w:w="28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Component</w:t>
            </w:r>
          </w:p>
        </w:tc>
        <w:tc>
          <w:tcPr>
            <w:tcW w:type="dxa" w:w="24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Replacement Cycle</w:t>
            </w:r>
          </w:p>
        </w:tc>
        <w:tc>
          <w:tcPr>
            <w:tcW w:type="dxa" w:w="416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Estimated Cost</w:t>
            </w:r>
          </w:p>
        </w:tc>
      </w:tr>
      <w:tr>
        <w:tc>
          <w:tcPr>
            <w:tcW w:type="dxa" w:w="2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Conveyor Chain / Belt</w:t>
            </w:r>
          </w:p>
        </w:tc>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3–5 years</w:t>
            </w:r>
          </w:p>
        </w:tc>
        <w:tc>
          <w:tcPr>
            <w:tcW w:type="dxa" w:w="4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$15,000–$30,000</w:t>
            </w:r>
          </w:p>
        </w:tc>
      </w:tr>
      <w:tr>
        <w:tc>
          <w:tcPr>
            <w:tcW w:type="dxa" w:w="2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Wash Brushes / Curtains</w:t>
            </w:r>
          </w:p>
        </w:tc>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1–2 years</w:t>
            </w:r>
          </w:p>
        </w:tc>
        <w:tc>
          <w:tcPr>
            <w:tcW w:type="dxa" w:w="4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$5,000–$15,000 per set</w:t>
            </w:r>
          </w:p>
        </w:tc>
      </w:tr>
      <w:tr>
        <w:tc>
          <w:tcPr>
            <w:tcW w:type="dxa" w:w="2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High-Pressure Pumps</w:t>
            </w:r>
          </w:p>
        </w:tc>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3–5 years (rebuild)</w:t>
            </w:r>
          </w:p>
        </w:tc>
        <w:tc>
          <w:tcPr>
            <w:tcW w:type="dxa" w:w="4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$3,000–$8,000 per pump</w:t>
            </w:r>
          </w:p>
        </w:tc>
      </w:tr>
      <w:tr>
        <w:tc>
          <w:tcPr>
            <w:tcW w:type="dxa" w:w="2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Blower Motors</w:t>
            </w:r>
          </w:p>
        </w:tc>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5–7 years</w:t>
            </w:r>
          </w:p>
        </w:tc>
        <w:tc>
          <w:tcPr>
            <w:tcW w:type="dxa" w:w="4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$5,000–$15,000 each</w:t>
            </w:r>
          </w:p>
        </w:tc>
      </w:tr>
      <w:tr>
        <w:tc>
          <w:tcPr>
            <w:tcW w:type="dxa" w:w="2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Chemical Delivery Systems</w:t>
            </w:r>
          </w:p>
        </w:tc>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3–5 years</w:t>
            </w:r>
          </w:p>
        </w:tc>
        <w:tc>
          <w:tcPr>
            <w:tcW w:type="dxa" w:w="4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$2,000–$5,000</w:t>
            </w:r>
          </w:p>
        </w:tc>
      </w:tr>
      <w:tr>
        <w:tc>
          <w:tcPr>
            <w:tcW w:type="dxa" w:w="2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Pay Station / Kiosk Refresh</w:t>
            </w:r>
          </w:p>
        </w:tc>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5–7 years</w:t>
            </w:r>
          </w:p>
        </w:tc>
        <w:tc>
          <w:tcPr>
            <w:tcW w:type="dxa" w:w="4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$15,000–$25,000 each</w:t>
            </w:r>
          </w:p>
        </w:tc>
      </w:tr>
      <w:tr>
        <w:tc>
          <w:tcPr>
            <w:tcW w:type="dxa" w:w="2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Water Reclaim Media</w:t>
            </w:r>
          </w:p>
        </w:tc>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1–2 years (media change)</w:t>
            </w:r>
          </w:p>
        </w:tc>
        <w:tc>
          <w:tcPr>
            <w:tcW w:type="dxa" w:w="4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$3,000–$8,000</w:t>
            </w:r>
          </w:p>
        </w:tc>
      </w:tr>
      <w:tr>
        <w:tc>
          <w:tcPr>
            <w:tcW w:type="dxa" w:w="2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LPR Camera / Software</w:t>
            </w:r>
          </w:p>
        </w:tc>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5–7 years</w:t>
            </w:r>
          </w:p>
        </w:tc>
        <w:tc>
          <w:tcPr>
            <w:tcW w:type="dxa" w:w="4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$10,000–$20,000</w:t>
            </w:r>
          </w:p>
        </w:tc>
      </w:tr>
      <w:tr>
        <w:tc>
          <w:tcPr>
            <w:tcW w:type="dxa" w:w="2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Full Technology Refresh</w:t>
            </w:r>
          </w:p>
        </w:tc>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7–10 years</w:t>
            </w:r>
          </w:p>
        </w:tc>
        <w:tc>
          <w:tcPr>
            <w:tcW w:type="dxa" w:w="4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$50,000–$100,000</w:t>
            </w:r>
          </w:p>
        </w:tc>
      </w:tr>
    </w:tbl>
    <w:p>
      <w:pPr>
        <w:spacing w:after="120"/>
      </w:pPr>
    </w:p>
    <w:p>
      <w:pPr>
        <w:spacing w:after="160"/>
        <w:jc w:val="left"/>
      </w:pPr>
      <w:r>
        <w:rPr>
          <w:rFonts w:ascii="Arial" w:cs="Arial" w:eastAsia="Arial" w:hAnsi="Arial"/>
          <w:b w:val="false"/>
          <w:bCs w:val="false"/>
          <w:i w:val="false"/>
          <w:iCs w:val="false"/>
          <w:color w:val="000000"/>
          <w:sz w:val="20"/>
          <w:szCs w:val="20"/>
        </w:rPr>
        <w:t xml:space="preserve">Annual maintenance and minor replacement budget should be modeled at 4–6% of revenue for express exterior systems. For Puerto Rico, add a corrosion premium of 10–15% above mainland maintenance budgets due to salt air exposure, especially for fasteners, exposed metals, and electrical connections in coastal locations.</w:t>
      </w:r>
    </w:p>
    <w:p>
      <w:r>
        <w:br w:type="page"/>
      </w:r>
    </w:p>
    <w:p>
      <w:pPr>
        <w:pStyle w:val="Heading1"/>
        <w:spacing w:after="200" w:before="360"/>
      </w:pPr>
      <w:r>
        <w:rPr>
          <w:rFonts w:ascii="Arial" w:cs="Arial" w:eastAsia="Arial" w:hAnsi="Arial"/>
          <w:b/>
          <w:bCs/>
          <w:color w:val="1B3A5C"/>
          <w:sz w:val="32"/>
          <w:szCs w:val="32"/>
        </w:rPr>
        <w:t xml:space="preserve">11. Water Usage &amp; Environmental Considerations</w:t>
      </w:r>
    </w:p>
    <w:p>
      <w:pPr>
        <w:pStyle w:val="Heading2"/>
        <w:spacing w:after="160" w:before="280"/>
      </w:pPr>
      <w:r>
        <w:rPr>
          <w:rFonts w:ascii="Arial" w:cs="Arial" w:eastAsia="Arial" w:hAnsi="Arial"/>
          <w:b/>
          <w:bCs/>
          <w:color w:val="2E75B6"/>
          <w:sz w:val="26"/>
          <w:szCs w:val="26"/>
        </w:rPr>
        <w:t xml:space="preserve">11.1 Water Consumption Benchmarks</w:t>
      </w:r>
    </w:p>
    <w:p>
      <w:pPr>
        <w:spacing w:after="160"/>
        <w:jc w:val="left"/>
      </w:pPr>
      <w:r>
        <w:rPr>
          <w:rFonts w:ascii="Arial" w:cs="Arial" w:eastAsia="Arial" w:hAnsi="Arial"/>
          <w:b w:val="false"/>
          <w:bCs w:val="false"/>
          <w:i w:val="false"/>
          <w:iCs w:val="false"/>
          <w:color w:val="000000"/>
          <w:sz w:val="20"/>
          <w:szCs w:val="20"/>
        </w:rPr>
        <w:t xml:space="preserve">EPA guidance (citing ICA research) provides the following benchmarks for fresh-water consumption per vehicle wash: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400"/>
        <w:gridCol w:w="3960"/>
      </w:tblGrid>
      <w:tr>
        <w:tc>
          <w:tcPr>
            <w:tcW w:type="dxa" w:w="30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Wash Format</w:t>
            </w:r>
          </w:p>
        </w:tc>
        <w:tc>
          <w:tcPr>
            <w:tcW w:type="dxa" w:w="24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Gallons Per Vehicle</w:t>
            </w:r>
          </w:p>
        </w:tc>
        <w:tc>
          <w:tcPr>
            <w:tcW w:type="dxa" w:w="396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Notes</w:t>
            </w:r>
          </w:p>
        </w:tc>
      </w:tr>
      <w:tr>
        <w:tc>
          <w:tcPr>
            <w:tcW w:type="dxa" w:w="3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Conveyor / Tunnel (no reclaim)</w:t>
            </w:r>
          </w:p>
        </w:tc>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~75 gallons</w:t>
            </w:r>
          </w:p>
        </w:tc>
        <w:tc>
          <w:tcPr>
            <w:tcW w:type="dxa" w:w="39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Baseline fresh-water draw</w:t>
            </w:r>
          </w:p>
        </w:tc>
      </w:tr>
      <w:tr>
        <w:tc>
          <w:tcPr>
            <w:tcW w:type="dxa" w:w="3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In-Bay Automatic (no reclaim)</w:t>
            </w:r>
          </w:p>
        </w:tc>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~55 gallons</w:t>
            </w:r>
          </w:p>
        </w:tc>
        <w:tc>
          <w:tcPr>
            <w:tcW w:type="dxa" w:w="39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Lower volume, longer cycle</w:t>
            </w:r>
          </w:p>
        </w:tc>
      </w:tr>
      <w:tr>
        <w:tc>
          <w:tcPr>
            <w:tcW w:type="dxa" w:w="3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Conveyor / Tunnel (with reclaim)</w:t>
            </w:r>
          </w:p>
        </w:tc>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~37 gallons</w:t>
            </w:r>
          </w:p>
        </w:tc>
        <w:tc>
          <w:tcPr>
            <w:tcW w:type="dxa" w:w="39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~50% reduction achieved</w:t>
            </w:r>
          </w:p>
        </w:tc>
      </w:tr>
      <w:tr>
        <w:tc>
          <w:tcPr>
            <w:tcW w:type="dxa" w:w="3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In-Bay Automatic (with reclaim)</w:t>
            </w:r>
          </w:p>
        </w:tc>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~27 gallons</w:t>
            </w:r>
          </w:p>
        </w:tc>
        <w:tc>
          <w:tcPr>
            <w:tcW w:type="dxa" w:w="39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~50% reduction achieved</w:t>
            </w:r>
          </w:p>
        </w:tc>
      </w:tr>
    </w:tbl>
    <w:p>
      <w:pPr>
        <w:spacing w:after="120"/>
      </w:pPr>
    </w:p>
    <w:p>
      <w:pPr>
        <w:pStyle w:val="Heading2"/>
        <w:spacing w:after="160" w:before="280"/>
      </w:pPr>
      <w:r>
        <w:rPr>
          <w:rFonts w:ascii="Arial" w:cs="Arial" w:eastAsia="Arial" w:hAnsi="Arial"/>
          <w:b/>
          <w:bCs/>
          <w:color w:val="2E75B6"/>
          <w:sz w:val="26"/>
          <w:szCs w:val="26"/>
        </w:rPr>
        <w:t xml:space="preserve">11.2 Water Cost Modeling (Puerto Rico)</w:t>
      </w:r>
    </w:p>
    <w:p>
      <w:pPr>
        <w:spacing w:after="160"/>
        <w:jc w:val="left"/>
      </w:pPr>
      <w:r>
        <w:rPr>
          <w:rFonts w:ascii="Arial" w:cs="Arial" w:eastAsia="Arial" w:hAnsi="Arial"/>
          <w:b w:val="false"/>
          <w:bCs w:val="false"/>
          <w:i w:val="false"/>
          <w:iCs w:val="false"/>
          <w:color w:val="000000"/>
          <w:sz w:val="20"/>
          <w:szCs w:val="20"/>
        </w:rPr>
        <w:t xml:space="preserve">Under AAA’s commercial tariff structure, a base case express tunnel site washing approximately 250 cars per day (90,000 annually) with reclaim installed generates estimated annual water and sewer costs of approximately $118,000. Without reclaim, costs escalate materially due to higher volumetric consumption in AAA’s tiered commercial rate blocks. This makes the business case for water reclaim systems particularly compelling in Puerto Rico.</w:t>
      </w:r>
    </w:p>
    <w:p>
      <w:pPr>
        <w:pStyle w:val="Heading2"/>
        <w:spacing w:after="160" w:before="280"/>
      </w:pPr>
      <w:r>
        <w:rPr>
          <w:rFonts w:ascii="Arial" w:cs="Arial" w:eastAsia="Arial" w:hAnsi="Arial"/>
          <w:b/>
          <w:bCs/>
          <w:color w:val="2E75B6"/>
          <w:sz w:val="26"/>
          <w:szCs w:val="26"/>
        </w:rPr>
        <w:t xml:space="preserve">11.3 Reclaim System ROI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400"/>
        <w:gridCol w:w="3960"/>
      </w:tblGrid>
      <w:tr>
        <w:tc>
          <w:tcPr>
            <w:tcW w:type="dxa" w:w="30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Metric</w:t>
            </w:r>
          </w:p>
        </w:tc>
        <w:tc>
          <w:tcPr>
            <w:tcW w:type="dxa" w:w="24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Value</w:t>
            </w:r>
          </w:p>
        </w:tc>
        <w:tc>
          <w:tcPr>
            <w:tcW w:type="dxa" w:w="396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Notes</w:t>
            </w:r>
          </w:p>
        </w:tc>
      </w:tr>
      <w:tr>
        <w:tc>
          <w:tcPr>
            <w:tcW w:type="dxa" w:w="3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Water Reclaim System Cost</w:t>
            </w:r>
          </w:p>
        </w:tc>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$120,000–$360,000</w:t>
            </w:r>
          </w:p>
        </w:tc>
        <w:tc>
          <w:tcPr>
            <w:tcW w:type="dxa" w:w="39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Installed, with oil-water separation</w:t>
            </w:r>
          </w:p>
        </w:tc>
      </w:tr>
      <w:tr>
        <w:tc>
          <w:tcPr>
            <w:tcW w:type="dxa" w:w="3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Annual Water Savings (base case)</w:t>
            </w:r>
          </w:p>
        </w:tc>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$40,000–$60,000</w:t>
            </w:r>
          </w:p>
        </w:tc>
        <w:tc>
          <w:tcPr>
            <w:tcW w:type="dxa" w:w="39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50% reduction in fresh-water draw</w:t>
            </w:r>
          </w:p>
        </w:tc>
      </w:tr>
      <w:tr>
        <w:tc>
          <w:tcPr>
            <w:tcW w:type="dxa" w:w="30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Payback Period</w:t>
            </w:r>
          </w:p>
        </w:tc>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2.5–5 years</w:t>
            </w:r>
          </w:p>
        </w:tc>
        <w:tc>
          <w:tcPr>
            <w:tcW w:type="dxa" w:w="39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Faster in high-volume scenarios</w:t>
            </w:r>
          </w:p>
        </w:tc>
      </w:tr>
      <w:tr>
        <w:tc>
          <w:tcPr>
            <w:tcW w:type="dxa" w:w="30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Environmental Compliance Benefit</w:t>
            </w:r>
          </w:p>
        </w:tc>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Significant</w:t>
            </w:r>
          </w:p>
        </w:tc>
        <w:tc>
          <w:tcPr>
            <w:tcW w:type="dxa" w:w="39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Reduces discharge volume and pollutant load</w:t>
            </w:r>
          </w:p>
        </w:tc>
      </w:tr>
    </w:tbl>
    <w:p>
      <w:pPr>
        <w:spacing w:after="120"/>
      </w:pPr>
    </w:p>
    <w:p>
      <w:pPr>
        <w:pStyle w:val="Heading2"/>
        <w:spacing w:after="160" w:before="280"/>
      </w:pPr>
      <w:r>
        <w:rPr>
          <w:rFonts w:ascii="Arial" w:cs="Arial" w:eastAsia="Arial" w:hAnsi="Arial"/>
          <w:b/>
          <w:bCs/>
          <w:color w:val="2E75B6"/>
          <w:sz w:val="26"/>
          <w:szCs w:val="26"/>
        </w:rPr>
        <w:t xml:space="preserve">11.4 Environmental Compliance Summary</w:t>
      </w:r>
    </w:p>
    <w:p>
      <w:pPr>
        <w:spacing w:after="160"/>
        <w:jc w:val="left"/>
      </w:pPr>
      <w:r>
        <w:rPr>
          <w:rFonts w:ascii="Arial" w:cs="Arial" w:eastAsia="Arial" w:hAnsi="Arial"/>
          <w:b w:val="false"/>
          <w:bCs w:val="false"/>
          <w:i w:val="false"/>
          <w:iCs w:val="false"/>
          <w:color w:val="000000"/>
          <w:sz w:val="20"/>
          <w:szCs w:val="20"/>
        </w:rPr>
        <w:t xml:space="preserve">All car wash operations in Puerto Rico must engineer wash-water management around sanitary sewer discharge compatibility. Key requirements include: pretreatment (oil/water separation, grit/sediment removal) before discharge to AAA sewer system; DNER water quality certification confirming discharge will not violate applicable standards; water reclaim system to reduce total fresh-water draw and discharge volume; and a stormwater pollution prevention plan (SWPPP) for construction-phase compliance if the site disturbs one acre or more.</w:t>
      </w:r>
    </w:p>
    <w:p>
      <w:pPr>
        <w:spacing w:after="160"/>
        <w:jc w:val="left"/>
      </w:pPr>
      <w:r>
        <w:rPr>
          <w:rFonts w:ascii="Arial" w:cs="Arial" w:eastAsia="Arial" w:hAnsi="Arial"/>
          <w:b w:val="false"/>
          <w:bCs w:val="false"/>
          <w:i w:val="false"/>
          <w:iCs w:val="false"/>
          <w:color w:val="000000"/>
          <w:sz w:val="20"/>
          <w:szCs w:val="20"/>
        </w:rPr>
        <w:t xml:space="preserve">Puerto Rico-specific considerations: NPDES permits are federally administered by EPA Region 2 (not a delegated commonwealth program), adding a layer of federal oversight. All exposed structural metals must be corrosion-resistant (stainless steel or hot-dip galvanized) due to salt air exposure. Building code requires design for 150–200 mph wind speeds depending on location and structure type.</w:t>
      </w:r>
    </w:p>
    <w:p>
      <w:r>
        <w:br w:type="page"/>
      </w:r>
    </w:p>
    <w:p>
      <w:pPr>
        <w:pStyle w:val="Heading1"/>
        <w:spacing w:after="200" w:before="360"/>
      </w:pPr>
      <w:r>
        <w:rPr>
          <w:rFonts w:ascii="Arial" w:cs="Arial" w:eastAsia="Arial" w:hAnsi="Arial"/>
          <w:b/>
          <w:bCs/>
          <w:color w:val="1B3A5C"/>
          <w:sz w:val="32"/>
          <w:szCs w:val="32"/>
        </w:rPr>
        <w:t xml:space="preserve">12. Appendices &amp; Professional Confirmation Items</w:t>
      </w:r>
    </w:p>
    <w:p>
      <w:pPr>
        <w:pStyle w:val="Heading2"/>
        <w:spacing w:after="160" w:before="280"/>
      </w:pPr>
      <w:r>
        <w:rPr>
          <w:rFonts w:ascii="Arial" w:cs="Arial" w:eastAsia="Arial" w:hAnsi="Arial"/>
          <w:b/>
          <w:bCs/>
          <w:color w:val="2E75B6"/>
          <w:sz w:val="26"/>
          <w:szCs w:val="26"/>
        </w:rPr>
        <w:t xml:space="preserve">12.1 Items Requiring Professional Confirmation</w:t>
      </w:r>
    </w:p>
    <w:p>
      <w:pPr>
        <w:spacing w:after="160"/>
        <w:jc w:val="left"/>
      </w:pPr>
      <w:r>
        <w:rPr>
          <w:rFonts w:ascii="Arial" w:cs="Arial" w:eastAsia="Arial" w:hAnsi="Arial"/>
          <w:b w:val="false"/>
          <w:bCs w:val="false"/>
          <w:i w:val="false"/>
          <w:iCs w:val="false"/>
          <w:color w:val="000000"/>
          <w:sz w:val="20"/>
          <w:szCs w:val="20"/>
        </w:rPr>
        <w:t xml:space="preserve">The following items have been flagged throughout this report as requiring verification by qualified professionals (attorney, CPA, tax advisor, or licensed engineer) before use in investor materials or operational planning: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6360"/>
        <w:gridCol w:w="2600"/>
      </w:tblGrid>
      <w:tr>
        <w:tc>
          <w:tcPr>
            <w:tcW w:type="dxa" w:w="4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t>
            </w:r>
          </w:p>
        </w:tc>
        <w:tc>
          <w:tcPr>
            <w:tcW w:type="dxa" w:w="636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Item</w:t>
            </w:r>
          </w:p>
        </w:tc>
        <w:tc>
          <w:tcPr>
            <w:tcW w:type="dxa" w:w="26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Professional Required</w:t>
            </w:r>
          </w:p>
        </w:tc>
      </w:tr>
      <w:tr>
        <w:tc>
          <w:tcPr>
            <w:tcW w:type="dxa" w:w="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w:t>
            </w:r>
          </w:p>
        </w:tc>
        <w:tc>
          <w:tcPr>
            <w:tcW w:type="dxa" w:w="63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Act 60 Chapter 7 (Green Energy) eligibility for car wash with solar/storage</w:t>
            </w:r>
          </w:p>
        </w:tc>
        <w:tc>
          <w:tcPr>
            <w:tcW w:type="dxa" w:w="26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PR Tax Attorney + DDEC</w:t>
            </w:r>
          </w:p>
        </w:tc>
      </w:tr>
      <w:tr>
        <w:tc>
          <w:tcPr>
            <w:tcW w:type="dxa" w:w="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w:t>
            </w:r>
          </w:p>
        </w:tc>
        <w:tc>
          <w:tcPr>
            <w:tcW w:type="dxa" w:w="63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Federal bonus depreciation conformity with Puerto Rico tax treatment</w:t>
            </w:r>
          </w:p>
        </w:tc>
        <w:tc>
          <w:tcPr>
            <w:tcW w:type="dxa" w:w="26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CPA (PR + Federal)</w:t>
            </w:r>
          </w:p>
        </w:tc>
      </w:tr>
      <w:tr>
        <w:tc>
          <w:tcPr>
            <w:tcW w:type="dxa" w:w="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3</w:t>
            </w:r>
          </w:p>
        </w:tc>
        <w:tc>
          <w:tcPr>
            <w:tcW w:type="dxa" w:w="63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Cost segregation study reclassification percentages under OBBBA</w:t>
            </w:r>
          </w:p>
        </w:tc>
        <w:tc>
          <w:tcPr>
            <w:tcW w:type="dxa" w:w="26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Cost Segregation Firm</w:t>
            </w:r>
          </w:p>
        </w:tc>
      </w:tr>
      <w:tr>
        <w:tc>
          <w:tcPr>
            <w:tcW w:type="dxa" w:w="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4</w:t>
            </w:r>
          </w:p>
        </w:tc>
        <w:tc>
          <w:tcPr>
            <w:tcW w:type="dxa" w:w="63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Passive activity and at-risk limitation impact for specific investor profiles</w:t>
            </w:r>
          </w:p>
        </w:tc>
        <w:tc>
          <w:tcPr>
            <w:tcW w:type="dxa" w:w="26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Tax Advisor / CPA</w:t>
            </w:r>
          </w:p>
        </w:tc>
      </w:tr>
      <w:tr>
        <w:tc>
          <w:tcPr>
            <w:tcW w:type="dxa" w:w="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5</w:t>
            </w:r>
          </w:p>
        </w:tc>
        <w:tc>
          <w:tcPr>
            <w:tcW w:type="dxa" w:w="63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Opportunity Zone designation status post-December 2026 redesignation</w:t>
            </w:r>
          </w:p>
        </w:tc>
        <w:tc>
          <w:tcPr>
            <w:tcW w:type="dxa" w:w="26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Tax Advisor + Legal</w:t>
            </w:r>
          </w:p>
        </w:tc>
      </w:tr>
      <w:tr>
        <w:tc>
          <w:tcPr>
            <w:tcW w:type="dxa" w:w="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6</w:t>
            </w:r>
          </w:p>
        </w:tc>
        <w:tc>
          <w:tcPr>
            <w:tcW w:type="dxa" w:w="63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AAA water/sewer meter sizing, connection fees, and discharge conditions</w:t>
            </w:r>
          </w:p>
        </w:tc>
        <w:tc>
          <w:tcPr>
            <w:tcW w:type="dxa" w:w="26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PE / Civil Engineer</w:t>
            </w:r>
          </w:p>
        </w:tc>
      </w:tr>
      <w:tr>
        <w:tc>
          <w:tcPr>
            <w:tcW w:type="dxa" w:w="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7</w:t>
            </w:r>
          </w:p>
        </w:tc>
        <w:tc>
          <w:tcPr>
            <w:tcW w:type="dxa" w:w="63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LUMA electrical demand class and rate tariff for car wash load profile</w:t>
            </w:r>
          </w:p>
        </w:tc>
        <w:tc>
          <w:tcPr>
            <w:tcW w:type="dxa" w:w="26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PE / Electrical Engineer</w:t>
            </w:r>
          </w:p>
        </w:tc>
      </w:tr>
      <w:tr>
        <w:tc>
          <w:tcPr>
            <w:tcW w:type="dxa" w:w="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8</w:t>
            </w:r>
          </w:p>
        </w:tc>
        <w:tc>
          <w:tcPr>
            <w:tcW w:type="dxa" w:w="63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TIPS Panel structural engineering for PR hurricane wind and seismic codes</w:t>
            </w:r>
          </w:p>
        </w:tc>
        <w:tc>
          <w:tcPr>
            <w:tcW w:type="dxa" w:w="26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Structural Engineer (PE)</w:t>
            </w:r>
          </w:p>
        </w:tc>
      </w:tr>
      <w:tr>
        <w:tc>
          <w:tcPr>
            <w:tcW w:type="dxa" w:w="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9</w:t>
            </w:r>
          </w:p>
        </w:tc>
        <w:tc>
          <w:tcPr>
            <w:tcW w:type="dxa" w:w="63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DNER water quality certification requirements for car wash discharge</w:t>
            </w:r>
          </w:p>
        </w:tc>
        <w:tc>
          <w:tcPr>
            <w:tcW w:type="dxa" w:w="26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Environmental Consultant</w:t>
            </w:r>
          </w:p>
        </w:tc>
      </w:tr>
      <w:tr>
        <w:tc>
          <w:tcPr>
            <w:tcW w:type="dxa" w:w="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10</w:t>
            </w:r>
          </w:p>
        </w:tc>
        <w:tc>
          <w:tcPr>
            <w:tcW w:type="dxa" w:w="63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Municipal zoning confirmation for each target site</w:t>
            </w:r>
          </w:p>
        </w:tc>
        <w:tc>
          <w:tcPr>
            <w:tcW w:type="dxa" w:w="26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Land Use Attorney</w:t>
            </w:r>
          </w:p>
        </w:tc>
      </w:tr>
    </w:tbl>
    <w:p>
      <w:pPr>
        <w:spacing w:after="120"/>
      </w:pPr>
    </w:p>
    <w:p>
      <w:pPr>
        <w:pStyle w:val="Heading2"/>
        <w:spacing w:after="160" w:before="280"/>
      </w:pPr>
      <w:r>
        <w:rPr>
          <w:rFonts w:ascii="Arial" w:cs="Arial" w:eastAsia="Arial" w:hAnsi="Arial"/>
          <w:b/>
          <w:bCs/>
          <w:color w:val="2E75B6"/>
          <w:sz w:val="26"/>
          <w:szCs w:val="26"/>
        </w:rPr>
        <w:t xml:space="preserve">12.2 Key Regulatory Contacts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400"/>
        <w:gridCol w:w="4160"/>
      </w:tblGrid>
      <w:tr>
        <w:tc>
          <w:tcPr>
            <w:tcW w:type="dxa" w:w="28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Agency</w:t>
            </w:r>
          </w:p>
        </w:tc>
        <w:tc>
          <w:tcPr>
            <w:tcW w:type="dxa" w:w="240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Phone</w:t>
            </w:r>
          </w:p>
        </w:tc>
        <w:tc>
          <w:tcPr>
            <w:tcW w:type="dxa" w:w="4160"/>
            <w:tcBorders>
              <w:top w:val="single" w:color="B4C6D9" w:sz="1"/>
              <w:left w:val="single" w:color="B4C6D9" w:sz="1"/>
              <w:bottom w:val="single" w:color="B4C6D9" w:sz="1"/>
              <w:right w:val="single" w:color="B4C6D9" w:sz="1"/>
            </w:tcBorders>
            <w:shd w:fill="1B3A5C"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Website</w:t>
            </w:r>
          </w:p>
        </w:tc>
      </w:tr>
      <w:tr>
        <w:tc>
          <w:tcPr>
            <w:tcW w:type="dxa" w:w="2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OGPe (Permits)</w:t>
            </w:r>
          </w:p>
        </w:tc>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787-765-2900</w:t>
            </w:r>
          </w:p>
        </w:tc>
        <w:tc>
          <w:tcPr>
            <w:tcW w:type="dxa" w:w="4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permisos.pr.gov</w:t>
            </w:r>
          </w:p>
        </w:tc>
      </w:tr>
      <w:tr>
        <w:tc>
          <w:tcPr>
            <w:tcW w:type="dxa" w:w="2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DNER (Environment)</w:t>
            </w:r>
          </w:p>
        </w:tc>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See website</w:t>
            </w:r>
          </w:p>
        </w:tc>
        <w:tc>
          <w:tcPr>
            <w:tcW w:type="dxa" w:w="4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drna.pr.gov</w:t>
            </w:r>
          </w:p>
        </w:tc>
      </w:tr>
      <w:tr>
        <w:tc>
          <w:tcPr>
            <w:tcW w:type="dxa" w:w="2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EPA Region 2 (NPDES)</w:t>
            </w:r>
          </w:p>
        </w:tc>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See website</w:t>
            </w:r>
          </w:p>
        </w:tc>
        <w:tc>
          <w:tcPr>
            <w:tcW w:type="dxa" w:w="4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epa.gov/npdes-permits</w:t>
            </w:r>
          </w:p>
        </w:tc>
      </w:tr>
      <w:tr>
        <w:tc>
          <w:tcPr>
            <w:tcW w:type="dxa" w:w="2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AAA (Water/Sewer)</w:t>
            </w:r>
          </w:p>
        </w:tc>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(787) 620-2482</w:t>
            </w:r>
          </w:p>
        </w:tc>
        <w:tc>
          <w:tcPr>
            <w:tcW w:type="dxa" w:w="4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acueductos.pr.gov</w:t>
            </w:r>
          </w:p>
        </w:tc>
      </w:tr>
      <w:tr>
        <w:tc>
          <w:tcPr>
            <w:tcW w:type="dxa" w:w="2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LUMA Energy</w:t>
            </w:r>
          </w:p>
        </w:tc>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Customer service</w:t>
            </w:r>
          </w:p>
        </w:tc>
        <w:tc>
          <w:tcPr>
            <w:tcW w:type="dxa" w:w="4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lumapr.com</w:t>
            </w:r>
          </w:p>
        </w:tc>
      </w:tr>
      <w:tr>
        <w:tc>
          <w:tcPr>
            <w:tcW w:type="dxa" w:w="2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Hacienda (Treasury)</w:t>
            </w:r>
          </w:p>
        </w:tc>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See website</w:t>
            </w:r>
          </w:p>
        </w:tc>
        <w:tc>
          <w:tcPr>
            <w:tcW w:type="dxa" w:w="4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hacienda.pr.gov</w:t>
            </w:r>
          </w:p>
        </w:tc>
      </w:tr>
      <w:tr>
        <w:tc>
          <w:tcPr>
            <w:tcW w:type="dxa" w:w="28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DDEC (Economic Development)</w:t>
            </w:r>
          </w:p>
        </w:tc>
        <w:tc>
          <w:tcPr>
            <w:tcW w:type="dxa" w:w="240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See website</w:t>
            </w:r>
          </w:p>
        </w:tc>
        <w:tc>
          <w:tcPr>
            <w:tcW w:type="dxa" w:w="4160"/>
            <w:tcBorders>
              <w:top w:val="single" w:color="B4C6D9" w:sz="1"/>
              <w:left w:val="single" w:color="B4C6D9" w:sz="1"/>
              <w:bottom w:val="single" w:color="B4C6D9" w:sz="1"/>
              <w:right w:val="single" w:color="B4C6D9" w:sz="1"/>
            </w:tcBorders>
            <w:shd w:fill="FFFFFF"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ddec.pr.gov</w:t>
            </w:r>
          </w:p>
        </w:tc>
      </w:tr>
      <w:tr>
        <w:tc>
          <w:tcPr>
            <w:tcW w:type="dxa" w:w="28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PRIDCO (Industrial Dev.)</w:t>
            </w:r>
          </w:p>
        </w:tc>
        <w:tc>
          <w:tcPr>
            <w:tcW w:type="dxa" w:w="240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See website</w:t>
            </w:r>
          </w:p>
        </w:tc>
        <w:tc>
          <w:tcPr>
            <w:tcW w:type="dxa" w:w="4160"/>
            <w:tcBorders>
              <w:top w:val="single" w:color="B4C6D9" w:sz="1"/>
              <w:left w:val="single" w:color="B4C6D9" w:sz="1"/>
              <w:bottom w:val="single" w:color="B4C6D9" w:sz="1"/>
              <w:right w:val="single" w:color="B4C6D9" w:sz="1"/>
            </w:tcBorders>
            <w:shd w:fill="F5F5F5"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pridco.pr.gov</w:t>
            </w:r>
          </w:p>
        </w:tc>
      </w:tr>
    </w:tbl>
    <w:p>
      <w:pPr>
        <w:spacing w:after="120"/>
      </w:pPr>
    </w:p>
    <w:p>
      <w:pPr>
        <w:pStyle w:val="Heading2"/>
        <w:spacing w:after="160" w:before="280"/>
      </w:pPr>
      <w:r>
        <w:rPr>
          <w:rFonts w:ascii="Arial" w:cs="Arial" w:eastAsia="Arial" w:hAnsi="Arial"/>
          <w:b/>
          <w:bCs/>
          <w:color w:val="2E75B6"/>
          <w:sz w:val="26"/>
          <w:szCs w:val="26"/>
        </w:rPr>
        <w:t xml:space="preserve">12.3 Disclaimer</w:t>
      </w:r>
    </w:p>
    <w:p>
      <w:pPr>
        <w:spacing w:after="160"/>
        <w:jc w:val="left"/>
      </w:pPr>
      <w:r>
        <w:rPr>
          <w:rFonts w:ascii="Arial" w:cs="Arial" w:eastAsia="Arial" w:hAnsi="Arial"/>
          <w:b w:val="false"/>
          <w:bCs w:val="false"/>
          <w:i/>
          <w:iCs/>
          <w:color w:val="666666"/>
          <w:sz w:val="18"/>
          <w:szCs w:val="18"/>
        </w:rPr>
        <w:t xml:space="preserve">This report is prepared for internal planning and investor preparation purposes only. All financial projections, tax estimates, and market analysis are based on publicly available data, industry benchmarks, and reasonable assumptions as of April 2026. Actual results may differ materially from projections. No representation or warranty is made regarding the accuracy or completeness of any information contained herein. Readers should consult qualified legal, tax, financial, and engineering professionals before making investment decisions or relying on any information in this report.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1"/>
      </w:pBdr>
      <w:tabs>
        <w:tab w:val="right" w:pos="9026"/>
      </w:tabs>
    </w:pPr>
    <w:r>
      <w:rPr>
        <w:rFonts w:ascii="Arial" w:cs="Arial" w:eastAsia="Arial" w:hAnsi="Arial"/>
        <w:color w:val="666666"/>
        <w:sz w:val="16"/>
        <w:szCs w:val="16"/>
      </w:rPr>
      <w:t xml:space="preserve">Prepared April 2026 | For Investor Review Only</w:t>
    </w:r>
    <w:r>
      <w:rPr>
        <w:rFonts w:ascii="Arial" w:cs="Arial" w:eastAsia="Arial" w:hAnsi="Arial"/>
        <w:color w:val="666666"/>
        <w:sz w:val="16"/>
        <w:szCs w:val="16"/>
      </w:rPr>
      <w:t xml:space="preserve">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1"/>
      </w:pBdr>
      <w:tabs>
        <w:tab w:val="right" w:pos="9026"/>
      </w:tabs>
    </w:pPr>
    <w:r>
      <w:rPr>
        <w:rFonts w:ascii="Arial" w:cs="Arial" w:eastAsia="Arial" w:hAnsi="Arial"/>
        <w:i/>
        <w:iCs/>
        <w:color w:val="666666"/>
        <w:sz w:val="16"/>
        <w:szCs w:val="16"/>
      </w:rPr>
      <w:t xml:space="preserve">Puerto Rico Automated Car Wash — Market Intelligence Report</w:t>
    </w:r>
    <w:r>
      <w:rPr>
        <w:rFonts w:ascii="Arial" w:cs="Arial" w:eastAsia="Arial" w:hAnsi="Arial"/>
        <w:b/>
        <w:bCs/>
        <w:color w:val="666666"/>
        <w:sz w:val="16"/>
        <w:szCs w:val="16"/>
      </w:rPr>
      <w:t xml:space="preserve">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B3A5C"/>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E75B6"/>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1B3A5C"/>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2026-04-06T15:27:57.043Z</dcterms:created>
  <dcterms:modified xsi:type="dcterms:W3CDTF">2026-04-06T15:27:57.043Z</dcterms:modified>
</cp:coreProperties>
</file>

<file path=docProps/custom.xml><?xml version="1.0" encoding="utf-8"?>
<Properties xmlns="http://schemas.openxmlformats.org/officeDocument/2006/custom-properties" xmlns:vt="http://schemas.openxmlformats.org/officeDocument/2006/docPropsVTypes"/>
</file>